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>
      <w:pPr>
        <w:jc w:val="center"/>
      </w:pPr>
      <w:r>
        <w:rPr>
          <w:b/>
          <w:color w:val="00788C"/>
          <w:sz w:val="28"/>
        </w:rPr>
        <w:t>BlueSim Training Guide</w:t>
      </w:r>
    </w:p>
    <w:p>
      <w:pPr>
        <w:jc w:val="center"/>
      </w:pPr>
      <w:r>
        <w:rPr>
          <w:b/>
          <w:sz w:val="48"/>
        </w:rPr>
        <w:t>Alarm Monitoring System (AMS)</w:t>
      </w:r>
    </w:p>
    <w:p>
      <w:pPr>
        <w:jc w:val="center"/>
      </w:pPr>
      <w:r>
        <w:rPr>
          <w:color w:val="646464"/>
          <w:sz w:val="24"/>
        </w:rPr>
        <w:t>Monitoring &amp; Control</w:t>
      </w:r>
    </w:p>
    <w:p>
      <w:pPr>
        <w:jc w:val="center"/>
      </w:pPr>
      <w:r>
        <w:rPr>
          <w:color w:val="505050"/>
          <w:sz w:val="20"/>
        </w:rPr>
        <w:t>Integrated Alarm Monitoring System for engine room automation with 40+ monitored points, trend viewer, alarm ACK workflow, and watchkeeping timer.</w:t>
      </w:r>
    </w:p>
    <w:p>
      <w:r>
        <w:br w:type="page"/>
      </w:r>
    </w:p>
    <w:p>
      <w:pPr>
        <w:pStyle w:val="Heading1"/>
      </w:pPr>
      <w:r>
        <w:t>1. Display Requirements</w:t>
      </w:r>
    </w:p>
    <w:tbl>
      <w:tblPr>
        <w:tblStyle w:val="LightGrid-Accent1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Optimal Resolution</w:t>
            </w:r>
          </w:p>
        </w:tc>
        <w:tc>
          <w:tcPr>
            <w:tcW w:type="dxa" w:w="4320"/>
          </w:tcPr>
          <w:p>
            <w:r>
              <w:t>1920 x 1080 (Full HD)</w:t>
            </w:r>
          </w:p>
        </w:tc>
      </w:tr>
      <w:tr>
        <w:tc>
          <w:tcPr>
            <w:tcW w:type="dxa" w:w="4320"/>
          </w:tcPr>
          <w:p>
            <w:r>
              <w:t>Minimum Resolution</w:t>
            </w:r>
          </w:p>
        </w:tc>
        <w:tc>
          <w:tcPr>
            <w:tcW w:type="dxa" w:w="4320"/>
          </w:tcPr>
          <w:p>
            <w:r>
              <w:t>1366 x 768</w:t>
            </w:r>
          </w:p>
        </w:tc>
      </w:tr>
      <w:tr>
        <w:tc>
          <w:tcPr>
            <w:tcW w:type="dxa" w:w="4320"/>
          </w:tcPr>
          <w:p>
            <w:r>
              <w:t>Aspect Ratio</w:t>
            </w:r>
          </w:p>
        </w:tc>
        <w:tc>
          <w:tcPr>
            <w:tcW w:type="dxa" w:w="4320"/>
          </w:tcPr>
          <w:p>
            <w:r>
              <w:t>16:9 (recommended) or 16:10</w:t>
            </w:r>
          </w:p>
        </w:tc>
      </w:tr>
      <w:tr>
        <w:tc>
          <w:tcPr>
            <w:tcW w:type="dxa" w:w="4320"/>
          </w:tcPr>
          <w:p>
            <w:r>
              <w:t>Browser</w:t>
            </w:r>
          </w:p>
        </w:tc>
        <w:tc>
          <w:tcPr>
            <w:tcW w:type="dxa" w:w="4320"/>
          </w:tcPr>
          <w:p>
            <w:r>
              <w:t>Chrome 90+, Firefox 90+, Edge 90+ (fullscreen recommended)</w:t>
            </w:r>
          </w:p>
        </w:tc>
      </w:tr>
      <w:tr>
        <w:tc>
          <w:tcPr>
            <w:tcW w:type="dxa" w:w="4320"/>
          </w:tcPr>
          <w:p>
            <w:r>
              <w:t>Input</w:t>
            </w:r>
          </w:p>
        </w:tc>
        <w:tc>
          <w:tcPr>
            <w:tcW w:type="dxa" w:w="4320"/>
          </w:tcPr>
          <w:p>
            <w:r>
              <w:t>Mouse + keyboard (touchscreen not supported)</w:t>
            </w:r>
          </w:p>
        </w:tc>
      </w:tr>
    </w:tbl>
    <w:p/>
    <w:p>
      <w:r>
        <w:rPr>
          <w:b/>
        </w:rPr>
        <w:t xml:space="preserve">Note: </w:t>
      </w:r>
      <w:r>
        <w:t>The simulator is designed for desktop use. On screens below 980 x 600 px, a "Screen Too Small" notice will appear. For the best experience, press F11 for fullscreen mode after launching the simulator.</w:t>
      </w:r>
    </w:p>
    <w:p>
      <w:pPr>
        <w:pStyle w:val="Heading1"/>
      </w:pPr>
      <w:r>
        <w:t>2. Simulator Overview</w:t>
      </w:r>
    </w:p>
    <w:p>
      <w:r>
        <w:t>Integrated Alarm Monitoring System for engine room automation with 40+ monitored points, trend viewer, alarm ACK workflow, and watchkeeping timer.</w:t>
      </w:r>
    </w:p>
    <w:p>
      <w:pPr>
        <w:pStyle w:val="Heading2"/>
      </w:pPr>
      <w:r>
        <w:t>Key Features</w:t>
      </w:r>
    </w:p>
    <w:p>
      <w:pPr>
        <w:pStyle w:val="ListBullet"/>
      </w:pPr>
      <w:r>
        <w:t>Engine room mimic panel with 40+ monitored points across all systems.</w:t>
      </w:r>
    </w:p>
    <w:p>
      <w:pPr>
        <w:pStyle w:val="ListBullet"/>
      </w:pPr>
      <w:r>
        <w:t>Priority 1-4 alarm list with individual and group acknowledgement.</w:t>
      </w:r>
    </w:p>
    <w:p>
      <w:pPr>
        <w:pStyle w:val="ListBullet"/>
      </w:pPr>
      <w:r>
        <w:t>Trend chart viewer for any monitored point (5-minute rolling data).</w:t>
      </w:r>
    </w:p>
    <w:p>
      <w:pPr>
        <w:pStyle w:val="ListBullet"/>
      </w:pPr>
      <w:r>
        <w:t>Watchkeeping timer and maintenance inhibit mode with logging.</w:t>
      </w:r>
    </w:p>
    <w:p>
      <w:pPr>
        <w:pStyle w:val="ListBullet"/>
      </w:pPr>
      <w:r>
        <w:t>Multi-scenario training: flooding, ME LO drop, watchkeeping alarms.</w:t>
      </w:r>
    </w:p>
    <w:p>
      <w:pPr>
        <w:pStyle w:val="Heading1"/>
      </w:pPr>
      <w:r>
        <w:t>3. Interface Layout</w:t>
      </w:r>
    </w:p>
    <w:p>
      <w:r>
        <w:t>The simulator uses a multi-panel layout with the following regions: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Panel</w:t>
            </w:r>
          </w:p>
        </w:tc>
        <w:tc>
          <w:tcPr>
            <w:tcW w:type="dxa" w:w="4320"/>
          </w:tcPr>
          <w:p>
            <w:r>
              <w:rPr>
                <w:b/>
              </w:rPr>
              <w:t>Purpose</w:t>
            </w:r>
          </w:p>
        </w:tc>
      </w:tr>
      <w:tr>
        <w:tc>
          <w:tcPr>
            <w:tcW w:type="dxa" w:w="4320"/>
          </w:tcPr>
          <w:p>
            <w:r>
              <w:t>EXIT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ALARM SUMMARY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WATCHKEEPING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SYSTEM STATUS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MAIN ENGINE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AUXILIARY ENGINES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TANKS &amp;amp; BILGE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</w:tbl>
    <w:p/>
    <w:p>
      <w:r>
        <w:rPr>
          <w:b/>
        </w:rPr>
        <w:t xml:space="preserve">Header Bar: </w:t>
      </w:r>
      <w:r>
        <w:t>Shows simulator title, regulatory reference, live clock, fullscreen toggle, and exit button.</w:t>
      </w:r>
    </w:p>
    <w:p>
      <w:r>
        <w:rPr>
          <w:b/>
        </w:rPr>
        <w:t xml:space="preserve">Left Panel: </w:t>
      </w:r>
      <w:r>
        <w:t>System gauges, valve controls, and operational parameters.</w:t>
      </w:r>
    </w:p>
    <w:p>
      <w:r>
        <w:rPr>
          <w:b/>
        </w:rPr>
        <w:t xml:space="preserve">Center Panel: </w:t>
      </w:r>
      <w:r>
        <w:t>P&amp;ID schematic or main visual display (canvas/SVG).</w:t>
      </w:r>
    </w:p>
    <w:p>
      <w:r>
        <w:rPr>
          <w:b/>
        </w:rPr>
        <w:t xml:space="preserve">Right Panel: </w:t>
      </w:r>
      <w:r>
        <w:t>Alarm management, emergency controls, and scenario buttons.</w:t>
      </w:r>
    </w:p>
    <w:p>
      <w:r>
        <w:rPr>
          <w:b/>
        </w:rPr>
        <w:t xml:space="preserve">Bottom Panels: </w:t>
      </w:r>
      <w:r>
        <w:t>Trend charts, gas detection, scenario checklists, and supplementary data.</w:t>
      </w:r>
    </w:p>
    <w:p>
      <w:pPr>
        <w:pStyle w:val="Heading1"/>
      </w:pPr>
      <w:r>
        <w:t>4. System Components</w:t>
      </w:r>
    </w:p>
    <w:p>
      <w:pPr>
        <w:pStyle w:val="Heading1"/>
      </w:pPr>
      <w:r>
        <w:t>5. Training Scenarios</w:t>
      </w:r>
    </w:p>
    <w:p>
      <w:r>
        <w:t>Scenario information will be displayed in the simulator modal on launch. Follow the on-screen checklist to complete each training objective.</w:t>
      </w:r>
    </w:p>
    <w:p>
      <w:pPr>
        <w:pStyle w:val="Heading1"/>
      </w:pPr>
      <w:r>
        <w:t>6. Emergency Procedures</w:t>
      </w:r>
    </w:p>
    <w:p>
      <w:r>
        <w:t>When an alarm condition occurs:</w:t>
      </w:r>
    </w:p>
    <w:p>
      <w:r>
        <w:rPr>
          <w:b/>
        </w:rPr>
        <w:t xml:space="preserve">1. </w:t>
      </w:r>
      <w:r>
        <w:t>Identify the alarm in the Alarm Management panel (right side).</w:t>
      </w:r>
    </w:p>
    <w:p>
      <w:r>
        <w:rPr>
          <w:b/>
        </w:rPr>
        <w:t xml:space="preserve">2. </w:t>
      </w:r>
      <w:r>
        <w:t>Acknowledge the alarm by clicking on it.</w:t>
      </w:r>
    </w:p>
    <w:p>
      <w:r>
        <w:rPr>
          <w:b/>
        </w:rPr>
        <w:t xml:space="preserve">3. </w:t>
      </w:r>
      <w:r>
        <w:t>Assess the severity: WARNING (amber) requires monitoring; ALARM (red) requires immediate action.</w:t>
      </w:r>
    </w:p>
    <w:p>
      <w:r>
        <w:rPr>
          <w:b/>
        </w:rPr>
        <w:t xml:space="preserve">4. </w:t>
      </w:r>
      <w:r>
        <w:t>If Emergency Shutdown (ESD) is required, press the ESD button.</w:t>
      </w:r>
    </w:p>
    <w:p>
      <w:r>
        <w:rPr>
          <w:b/>
        </w:rPr>
        <w:t xml:space="preserve">5. </w:t>
      </w:r>
      <w:r>
        <w:t>Follow the scenario checklist for step-by-step response.</w:t>
      </w:r>
    </w:p>
    <w:p>
      <w:r>
        <w:rPr>
          <w:b/>
        </w:rPr>
        <w:t xml:space="preserve">6. </w:t>
      </w:r>
      <w:r>
        <w:t>After resolving the condition, use the RESET button to restore normal operations.</w:t>
      </w:r>
    </w:p>
    <w:p>
      <w:pPr>
        <w:pStyle w:val="Heading1"/>
      </w:pPr>
      <w:r>
        <w:t>7. Reference Documentation</w:t>
      </w:r>
    </w:p>
    <w:p>
      <w:pPr>
        <w:pStyle w:val="Heading2"/>
      </w:pPr>
      <w:r>
        <w:t>reference</w:t>
      </w:r>
    </w:p>
    <w:p>
      <w:pPr>
        <w:pStyle w:val="Heading2"/>
      </w:pPr>
      <w:r>
        <w:t>AMS — Alarm Monitoring System Technical Reference</w:t>
      </w:r>
    </w:p>
    <w:p>
      <w:pPr>
        <w:pStyle w:val="Heading3"/>
      </w:pPr>
      <w:r>
        <w:t>Overview</w:t>
      </w:r>
    </w:p>
    <w:p>
      <w:r>
        <w:t>The Integrated Alarm Monitoring System (AMS) provides centralized monitoring and alarm management for all engine room and machinery systems. It replaces traditional hard-wired alarm panels with a distributed digital system, providing trend data, alarm history, and watchkeeping support per SOLAS and class rules.</w:t>
      </w:r>
    </w:p>
    <w:p>
      <w:pPr>
        <w:pStyle w:val="Heading3"/>
      </w:pPr>
      <w:r>
        <w:t>Regulatory Framework</w:t>
      </w:r>
    </w:p>
    <w:p>
      <w:pPr>
        <w:pStyle w:val="ListBullet"/>
        <w:spacing w:after="40"/>
      </w:pPr>
      <w:r>
        <w:t>**SOLAS II-1/Regulation 51** — Machinery space automation requirements</w:t>
      </w:r>
    </w:p>
    <w:p>
      <w:pPr>
        <w:pStyle w:val="ListBullet"/>
        <w:spacing w:after="40"/>
      </w:pPr>
      <w:r>
        <w:t>**IMO MSC/Circ.1280** — Guidelines for vessels with periodically unattended machinery spaces</w:t>
      </w:r>
    </w:p>
    <w:p>
      <w:pPr>
        <w:pStyle w:val="ListBullet"/>
        <w:spacing w:after="40"/>
      </w:pPr>
      <w:r>
        <w:t>**IACS UR M26** — Periodically unattended machinery spaces</w:t>
      </w:r>
    </w:p>
    <w:p>
      <w:pPr>
        <w:pStyle w:val="ListBullet"/>
        <w:spacing w:after="40"/>
      </w:pPr>
      <w:r>
        <w:t>**IACS UR E10** — Electrical installations</w:t>
      </w:r>
    </w:p>
    <w:p>
      <w:pPr>
        <w:pStyle w:val="ListBullet"/>
        <w:spacing w:after="40"/>
      </w:pPr>
      <w:r>
        <w:t>**MCA MGN 349** — Guidance on UMS operation</w:t>
      </w:r>
    </w:p>
    <w:p>
      <w:pPr>
        <w:pStyle w:val="ListBullet"/>
        <w:spacing w:after="40"/>
      </w:pPr>
      <w:r>
        <w:t>**DNV/LR Class Notation** — AUT, AUT-UMS for unmanned machinery spaces</w:t>
      </w:r>
    </w:p>
    <w:p>
      <w:pPr>
        <w:pStyle w:val="Heading3"/>
      </w:pPr>
      <w:r>
        <w:t>Alarm Priority Classification</w:t>
      </w:r>
    </w:p>
    <w:p>
      <w:r>
        <w:t>| Priority | Color | Description | Response Time |</w:t>
      </w:r>
    </w:p>
    <w:p>
      <w:r>
        <w:t>|----------|-------|-------------|---------------|</w:t>
      </w:r>
    </w:p>
    <w:p>
      <w:r>
        <w:t>| 1 — Emergency | Red/Flash | Immediate danger to ship, personnel, or cargo | Immediate |</w:t>
      </w:r>
    </w:p>
    <w:p>
      <w:r>
        <w:t>| 2 — Alarm | Red | Abnormal condition requiring prompt action | 1-2 minutes |</w:t>
      </w:r>
    </w:p>
    <w:p>
      <w:r>
        <w:t>| 3 — Warning | Amber | Condition approaching alarm threshold | 5-10 minutes |</w:t>
      </w:r>
    </w:p>
    <w:p>
      <w:r>
        <w:t>| 4 — Advisory | Blue/Cyan | Information requiring monitoring | 15-30 minutes |</w:t>
      </w:r>
    </w:p>
    <w:p>
      <w:pPr>
        <w:pStyle w:val="Heading3"/>
      </w:pPr>
      <w:r>
        <w:t>Monitored Systems and Points</w:t>
      </w:r>
    </w:p>
    <w:p>
      <w:pPr>
        <w:pStyle w:val="Heading4"/>
      </w:pPr>
      <w:r>
        <w:t>Main Engine</w:t>
      </w:r>
    </w:p>
    <w:p>
      <w:r>
        <w:t>| Tag | Description | Normal Range | Alarm |</w:t>
      </w:r>
    </w:p>
    <w:p>
      <w:r>
        <w:t>|-----|-------------|--------------|-------|</w:t>
      </w:r>
    </w:p>
    <w:p>
      <w:r>
        <w:t>| ME-LOP | LO (Lube Oil) Pressure | 3.5-5.0 bar | &lt;3.0 bar |</w:t>
      </w:r>
    </w:p>
    <w:p>
      <w:r>
        <w:t>| ME-JCT | JCW (Jacket Cooling Water) Temp | 75-85°C | &gt;90°C |</w:t>
      </w:r>
    </w:p>
    <w:p>
      <w:r>
        <w:t>| ME-TCR | Turbocharger Speed | 15,000-22,000 RPM | &lt;12,000 RPM |</w:t>
      </w:r>
    </w:p>
    <w:p>
      <w:r>
        <w:t>| ME-RPM | Main Engine RPM | 80-100 RPM | Per load |</w:t>
      </w:r>
    </w:p>
    <w:p>
      <w:r>
        <w:t>| ME-EXT | Exhaust Gas Temp avg | 300-420°C | &gt;450°C |</w:t>
      </w:r>
    </w:p>
    <w:p>
      <w:r>
        <w:t>| ME-FOT | Fuel Oil Temp | 130-145°C | &lt;120 / &gt;150°C |</w:t>
      </w:r>
    </w:p>
    <w:p>
      <w:pPr>
        <w:pStyle w:val="Heading4"/>
      </w:pPr>
      <w:r>
        <w:t>Auxiliary Engines (×3)</w:t>
      </w:r>
    </w:p>
    <w:p>
      <w:r>
        <w:t>| Tag | Description | Normal Range |</w:t>
      </w:r>
    </w:p>
    <w:p>
      <w:r>
        <w:t>|-----|-------------|--------------|</w:t>
      </w:r>
    </w:p>
    <w:p>
      <w:r>
        <w:t>| AE1/2/3-LOP | LO Pressure | &gt;3.0 bar |</w:t>
      </w:r>
    </w:p>
    <w:p>
      <w:r>
        <w:t>| AE1/2/3-JCT | JCW Temperature | &lt;88°C |</w:t>
      </w:r>
    </w:p>
    <w:p>
      <w:r>
        <w:t>| AE1/2/3-EXH | Exhaust Temperature | &lt;450°C |</w:t>
      </w:r>
    </w:p>
    <w:p>
      <w:pPr>
        <w:pStyle w:val="Heading4"/>
      </w:pPr>
      <w:r>
        <w:t>Boiler</w:t>
      </w:r>
    </w:p>
    <w:p>
      <w:r>
        <w:t>| Tag | Description | Normal Range | Alarm |</w:t>
      </w:r>
    </w:p>
    <w:p>
      <w:r>
        <w:t>|-----|-------------|--------------|-------|</w:t>
      </w:r>
    </w:p>
    <w:p>
      <w:r>
        <w:t>| BO-STP | Steam Pressure | 6.0-7.5 bar | &lt;5.5 / &gt;8.0 bar |</w:t>
      </w:r>
    </w:p>
    <w:p>
      <w:r>
        <w:t>| BO-WTL | Water Level | 60-75% | &lt;40% / &gt;90% |</w:t>
      </w:r>
    </w:p>
    <w:p>
      <w:r>
        <w:t>| BO-FOT | FO Temperature | 110-130°C | &gt;140°C |</w:t>
      </w:r>
    </w:p>
    <w:p>
      <w:pPr>
        <w:pStyle w:val="Heading4"/>
      </w:pPr>
      <w:r>
        <w:t>Generators</w:t>
      </w:r>
    </w:p>
    <w:p>
      <w:r>
        <w:t>| Tag | Description | Normal |</w:t>
      </w:r>
    </w:p>
    <w:p>
      <w:r>
        <w:t>|-----|-------------|--------|</w:t>
      </w:r>
    </w:p>
    <w:p>
      <w:r>
        <w:t>| G1/2/3-VLT | Voltage | 440V ±5% |</w:t>
      </w:r>
    </w:p>
    <w:p>
      <w:r>
        <w:t>| G1/2/3-FRQ | Frequency | 60 Hz ±0.5 |</w:t>
      </w:r>
    </w:p>
    <w:p>
      <w:r>
        <w:t>| G1/2/3-KW | Load (kW) | Per capacity |</w:t>
      </w:r>
    </w:p>
    <w:p>
      <w:pPr>
        <w:pStyle w:val="Heading4"/>
      </w:pPr>
      <w:r>
        <w:t>Pumps</w:t>
      </w:r>
    </w:p>
    <w:p>
      <w:r>
        <w:t>| Tag | Description |</w:t>
      </w:r>
    </w:p>
    <w:p>
      <w:r>
        <w:t>|-----|-------------|</w:t>
      </w:r>
    </w:p>
    <w:p>
      <w:r>
        <w:t>| BP-01-03 | Bilge pumps ×3 |</w:t>
      </w:r>
    </w:p>
    <w:p>
      <w:r>
        <w:t>| BP-BAL | Ballast pump |</w:t>
      </w:r>
    </w:p>
    <w:p>
      <w:r>
        <w:t>| FO-SVC | FO Service pump |</w:t>
      </w:r>
    </w:p>
    <w:p>
      <w:r>
        <w:t>| LO-CME | LO circulating pump (ME) |</w:t>
      </w:r>
    </w:p>
    <w:p>
      <w:pPr>
        <w:pStyle w:val="Heading4"/>
      </w:pPr>
      <w:r>
        <w:t>Tank Levels</w:t>
      </w:r>
    </w:p>
    <w:p>
      <w:r>
        <w:t>| Tag | Description | Alarm Low | Alarm High |</w:t>
      </w:r>
    </w:p>
    <w:p>
      <w:r>
        <w:t>|-----|-------------|-----------|------------|</w:t>
      </w:r>
    </w:p>
    <w:p>
      <w:r>
        <w:t>| TK-FO-SB | FO service tank SB | &lt;20% | &gt;95% |</w:t>
      </w:r>
    </w:p>
    <w:p>
      <w:r>
        <w:t>| TK-DO | DO tank | &lt;15% | &gt;95% |</w:t>
      </w:r>
    </w:p>
    <w:p>
      <w:r>
        <w:t>| TK-FW-DK | FW domestic | &lt;20% | &gt;95% |</w:t>
      </w:r>
    </w:p>
    <w:p>
      <w:r>
        <w:t>| TK-BLG | Bilge tank | — | &gt;70% |</w:t>
      </w:r>
    </w:p>
    <w:p>
      <w:r>
        <w:t>| TK-SLG | Sludge tank | — | &gt;85% |</w:t>
      </w:r>
    </w:p>
    <w:p>
      <w:r>
        <w:t>| TK-BAL-FP | Ballast FP tank | — | &gt;95% |</w:t>
      </w:r>
    </w:p>
    <w:p>
      <w:pPr>
        <w:pStyle w:val="Heading3"/>
      </w:pPr>
      <w:r>
        <w:t>Watchkeeping (UMS)</w:t>
      </w:r>
    </w:p>
    <w:p>
      <w:pPr>
        <w:pStyle w:val="ListBullet"/>
        <w:spacing w:after="40"/>
      </w:pPr>
      <w:r>
        <w:t>Chief Engineer responsible for UMS operation</w:t>
      </w:r>
    </w:p>
    <w:p>
      <w:pPr>
        <w:pStyle w:val="ListBullet"/>
        <w:spacing w:after="40"/>
      </w:pPr>
      <w:r>
        <w:t>AMS watchcall alarm to accommodation: 2 minutes response required</w:t>
      </w:r>
    </w:p>
    <w:p>
      <w:pPr>
        <w:pStyle w:val="ListBullet"/>
        <w:spacing w:after="40"/>
      </w:pPr>
      <w:r>
        <w:t>Engineer call: Activates audio alarm in cabins</w:t>
      </w:r>
    </w:p>
    <w:p>
      <w:pPr>
        <w:pStyle w:val="ListBullet"/>
        <w:spacing w:after="40"/>
      </w:pPr>
      <w:r>
        <w:t>Inhibit mode: Maximum 30 minutes (with override log)</w:t>
      </w:r>
    </w:p>
    <w:p>
      <w:pPr>
        <w:pStyle w:val="ListBullet"/>
        <w:spacing w:after="40"/>
      </w:pPr>
      <w:r>
        <w:t>Bridge notification: Priority 1 alarms auto-forwarded to bridge panel</w:t>
      </w:r>
    </w:p>
    <w:p>
      <w:pPr>
        <w:pStyle w:val="Heading3"/>
      </w:pPr>
      <w:r>
        <w:t>Trend Analysis</w:t>
      </w:r>
    </w:p>
    <w:p>
      <w:pPr>
        <w:pStyle w:val="ListBullet"/>
        <w:spacing w:after="40"/>
      </w:pPr>
      <w:r>
        <w:t>5-minute trend charts for all monitored points</w:t>
      </w:r>
    </w:p>
    <w:p>
      <w:pPr>
        <w:pStyle w:val="ListBullet"/>
        <w:spacing w:after="40"/>
      </w:pPr>
      <w:r>
        <w:t>Settable trend period: 5 min, 30 min, 4 hr, 24 hr</w:t>
      </w:r>
    </w:p>
    <w:p>
      <w:pPr>
        <w:pStyle w:val="ListBullet"/>
        <w:spacing w:after="40"/>
      </w:pPr>
      <w:r>
        <w:t>Historical data: 30 days</w:t>
      </w:r>
    </w:p>
    <w:p>
      <w:pPr>
        <w:pStyle w:val="ListBullet"/>
        <w:spacing w:after="40"/>
      </w:pPr>
      <w:r>
        <w:t>Export: CSV via USB for class/owner reports</w:t>
      </w:r>
    </w:p>
    <w:p>
      <w:pPr>
        <w:pStyle w:val="Heading3"/>
      </w:pPr>
      <w:r>
        <w:t>Alarm Inhibit (Maintenance Mode)</w:t>
      </w:r>
    </w:p>
    <w:p>
      <w:pPr>
        <w:pStyle w:val="ListBullet"/>
        <w:spacing w:after="40"/>
      </w:pPr>
      <w:r>
        <w:t>Engineer enters tag number and reason</w:t>
      </w:r>
    </w:p>
    <w:p>
      <w:pPr>
        <w:pStyle w:val="ListBullet"/>
        <w:spacing w:after="40"/>
      </w:pPr>
      <w:r>
        <w:t>Maximum inhibit duration: 30 minutes (configurable per class)</w:t>
      </w:r>
    </w:p>
    <w:p>
      <w:pPr>
        <w:pStyle w:val="ListBullet"/>
        <w:spacing w:after="40"/>
      </w:pPr>
      <w:r>
        <w:t>Inhibit logged in alarm history</w:t>
      </w:r>
    </w:p>
    <w:p>
      <w:pPr>
        <w:pStyle w:val="ListBullet"/>
        <w:spacing w:after="40"/>
      </w:pPr>
      <w:r>
        <w:t>Inhibited points shown with distinct indicator on overview</w:t>
      </w:r>
    </w:p>
    <w:p>
      <w:pPr>
        <w:pStyle w:val="Heading3"/>
      </w:pPr>
      <w:r>
        <w:t>Scenarios in Simulator</w:t>
      </w:r>
    </w:p>
    <w:p>
      <w:r>
        <w:t>| Scenario | Key Learning Points |</w:t>
      </w:r>
    </w:p>
    <w:p>
      <w:r>
        <w:t>|----------|---------------------|</w:t>
      </w:r>
    </w:p>
    <w:p>
      <w:r>
        <w:t>| Multiple Simultaneous Alarms | Alarm prioritization, group ACK, flooding response |</w:t>
      </w:r>
    </w:p>
    <w:p>
      <w:r>
        <w:t>| Watchkeeping Alarm Response | Timer-based alarm, engineer call function |</w:t>
      </w:r>
    </w:p>
    <w:p>
      <w:r>
        <w:t>| ME LO Pressure Trend Analysis | Trend viewer, identifying gradual degradation |</w:t>
      </w:r>
    </w:p>
    <w:p>
      <w:r>
        <w:t>| Inhibit/Maintenance Mode | Proper inhibit procedure, logging, safety |</w:t>
      </w:r>
    </w:p>
    <w:p>
      <w:pPr>
        <w:pStyle w:val="Heading3"/>
      </w:pPr>
      <w:r>
        <w:t>References</w:t>
      </w:r>
    </w:p>
    <w:p>
      <w:pPr>
        <w:pStyle w:val="ListBullet"/>
        <w:spacing w:after="40"/>
      </w:pPr>
      <w:r>
        <w:t>SOLAS 2024 Consolidated Edition, Chapter II-1 Regulation 51</w:t>
      </w:r>
    </w:p>
    <w:p>
      <w:pPr>
        <w:pStyle w:val="ListBullet"/>
        <w:spacing w:after="40"/>
      </w:pPr>
      <w:r>
        <w:t>IMO MSC/Circ.1280: Guidelines for Periodically Unattended Machinery Spaces</w:t>
      </w:r>
    </w:p>
    <w:p>
      <w:pPr>
        <w:pStyle w:val="ListBullet"/>
        <w:spacing w:after="40"/>
      </w:pPr>
      <w:r>
        <w:t>IACS Unified Requirement M26 (Rev.7, 2020)</w:t>
      </w:r>
    </w:p>
    <w:p>
      <w:pPr>
        <w:pStyle w:val="ListBullet"/>
        <w:spacing w:after="40"/>
      </w:pPr>
      <w:r>
        <w:t>DNV Rules for Ships Pt.4 Ch.9: Instrumentation and Automation</w:t>
      </w:r>
    </w:p>
    <w:p>
      <w:pPr>
        <w:pStyle w:val="Heading1"/>
      </w:pPr>
      <w:r>
        <w:t>8. Trainee Assessment Checklist</w:t>
      </w:r>
    </w:p>
    <w:p>
      <w:r>
        <w:t>The instructor should verify the trainee can:</w:t>
      </w:r>
    </w:p>
    <w:p>
      <w:pPr>
        <w:pStyle w:val="ListBullet"/>
      </w:pPr>
      <w:r>
        <w:t>Identify all panels and their functions.</w:t>
      </w:r>
    </w:p>
    <w:p>
      <w:pPr>
        <w:pStyle w:val="ListBullet"/>
      </w:pPr>
      <w:r>
        <w:t>Read and interpret gauge values and colour codes.</w:t>
      </w:r>
    </w:p>
    <w:p>
      <w:pPr>
        <w:pStyle w:val="ListBullet"/>
      </w:pPr>
      <w:r>
        <w:t>Operate valve controls correctly.</w:t>
      </w:r>
    </w:p>
    <w:p>
      <w:pPr>
        <w:pStyle w:val="ListBullet"/>
      </w:pPr>
      <w:r>
        <w:t>Acknowledge and respond to alarms within appropriate time.</w:t>
      </w:r>
    </w:p>
    <w:p>
      <w:pPr>
        <w:pStyle w:val="ListBullet"/>
      </w:pPr>
      <w:r>
        <w:t>Execute the Emergency Shutdown procedure.</w:t>
      </w:r>
    </w:p>
    <w:p>
      <w:pPr>
        <w:pStyle w:val="ListBullet"/>
      </w:pPr>
      <w:r>
        <w:t>Complete at least two training scenarios with all checklist items done.</w:t>
      </w:r>
    </w:p>
    <w:p>
      <w:pPr>
        <w:pStyle w:val="ListBullet"/>
      </w:pPr>
      <w:r>
        <w:t>Explain the regulatory basis for the system (where applicable).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Assessment Item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Result (Pass/Fail)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Remarks</w:t>
            </w:r>
          </w:p>
        </w:tc>
      </w:tr>
      <w:tr>
        <w:tc>
          <w:tcPr>
            <w:tcW w:type="dxa" w:w="2880"/>
          </w:tcPr>
          <w:p>
            <w:r>
              <w:t>Scenario Completion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Alarm Response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Emergency Procedure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/>
    <w:p>
      <w:pPr>
        <w:jc w:val="center"/>
      </w:pPr>
      <w:r>
        <w:rPr>
          <w:color w:val="969696"/>
          <w:sz w:val="16"/>
        </w:rPr>
        <w:t>Generated by BlueSim Training Guide System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/>
    </w:pPr>
    <w:rPr>
      <w:rFonts w:ascii="Calibri" w:hAnsi="Calibri"/>
      <w:sz w:val="1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