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Battery Hybrid Propulsion Control</w:t>
      </w:r>
    </w:p>
    <w:p>
      <w:pPr>
        <w:jc w:val="center"/>
      </w:pPr>
      <w:r>
        <w:rPr>
          <w:color w:val="646464"/>
          <w:sz w:val="24"/>
        </w:rPr>
        <w:t>Propulsion &amp; Emerging Tech</w:t>
      </w:r>
    </w:p>
    <w:p>
      <w:pPr>
        <w:jc w:val="center"/>
      </w:pPr>
      <w:r>
        <w:rPr>
          <w:color w:val="505050"/>
          <w:sz w:val="20"/>
        </w:rPr>
        <w:t>Battery Energy Storage System (BESS) integrated with diesel-electric propulsion. Hybrid, zero-emission, and peak shaving modes with live energy flow diagram.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Battery Energy Storage System (BESS) integrated with diesel-electric propulsion. Hybrid, zero-emission, and peak shaving modes with live energy flow diagram.</w:t>
      </w:r>
    </w:p>
    <w:p>
      <w:pPr>
        <w:pStyle w:val="Heading2"/>
      </w:pPr>
      <w:r>
        <w:t>Key Features</w:t>
      </w:r>
    </w:p>
    <w:p>
      <w:pPr>
        <w:pStyle w:val="ListBullet"/>
      </w:pPr>
      <w:r>
        <w:t>2,000 kWh BESS with SoC, cell voltage, temperature, and health monitoring.</w:t>
      </w:r>
    </w:p>
    <w:p>
      <w:pPr>
        <w:pStyle w:val="ListBullet"/>
      </w:pPr>
      <w:r>
        <w:t>Four operating modes: Diesel Only, Hybrid, Battery Only, Charging.</w:t>
      </w:r>
    </w:p>
    <w:p>
      <w:pPr>
        <w:pStyle w:val="ListBullet"/>
      </w:pPr>
      <w:r>
        <w:t>Peak shaving display comparing DG load with and without BESS.</w:t>
      </w:r>
    </w:p>
    <w:p>
      <w:pPr>
        <w:pStyle w:val="ListBullet"/>
      </w:pPr>
      <w:r>
        <w:t>Carbon emission meter in gCO2/kWh with real-time calculation.</w:t>
      </w:r>
    </w:p>
    <w:p>
      <w:pPr>
        <w:pStyle w:val="ListBullet"/>
      </w:pPr>
      <w:r>
        <w:t>Three scenarios: ECA Zero-Emission, DG Failure Takeover, Battery Low SoC Management.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BATTERY ENERGY STORAGE (BESS)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ENERGY FLOW DIAGRAM — HYBRID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MODE CONTROL &amp;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EMISSIONS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PEAK SHAVING COMPARISON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INFO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Battery Hybrid Propulsion Control — Technical Reference</w:t>
      </w:r>
    </w:p>
    <w:p>
      <w:pPr>
        <w:pStyle w:val="Heading3"/>
      </w:pPr>
      <w:r>
        <w:t>Overview</w:t>
      </w:r>
    </w:p>
    <w:p>
      <w:r>
        <w:t>Battery Energy Storage Systems (BESS) integrated with diesel-electric propulsion allow ships to operate with reduced emissions, improved fuel efficiency, and enhanced operational flexibility. Hybrid systems combine diesel generators with lithium-ion battery banks to optimise power delivery across all operating profiles.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**DNV Rules Pt.6 Ch.2** — Additional class notation for battery systems (Battery(Power), Battery(Safety))</w:t>
      </w:r>
    </w:p>
    <w:p>
      <w:pPr>
        <w:pStyle w:val="ListBullet"/>
        <w:spacing w:after="40"/>
      </w:pPr>
      <w:r>
        <w:t>**IEC 62619:2022** — Secondary cells and batteries — Safety requirements for stationary applications</w:t>
      </w:r>
    </w:p>
    <w:p>
      <w:pPr>
        <w:pStyle w:val="ListBullet"/>
        <w:spacing w:after="40"/>
      </w:pPr>
      <w:r>
        <w:t>**IEC 62620** — Secondary cells and batteries for use in industrial applications</w:t>
      </w:r>
    </w:p>
    <w:p>
      <w:pPr>
        <w:pStyle w:val="ListBullet"/>
        <w:spacing w:after="40"/>
      </w:pPr>
      <w:r>
        <w:t>**IGF Code (MSC.391(95))** — International Code of Safety for Ships Using Gases or Other Low-Flashpoint Fuels (future amendments to include battery guidance)</w:t>
      </w:r>
    </w:p>
    <w:p>
      <w:pPr>
        <w:pStyle w:val="ListBullet"/>
        <w:spacing w:after="40"/>
      </w:pPr>
      <w:r>
        <w:t>**SOLAS II-1** — Fire safety provisions for battery spaces</w:t>
      </w:r>
    </w:p>
    <w:p>
      <w:pPr>
        <w:pStyle w:val="ListBullet"/>
        <w:spacing w:after="40"/>
      </w:pPr>
      <w:r>
        <w:t>**IACS UR E27** — Use of lithium batteries on board ships</w:t>
      </w:r>
    </w:p>
    <w:p>
      <w:pPr>
        <w:pStyle w:val="ListBullet"/>
        <w:spacing w:after="40"/>
      </w:pPr>
      <w:r>
        <w:t>**EU ETS** — Emissions monitoring applicable to battery-assisted vessels</w:t>
      </w:r>
    </w:p>
    <w:p>
      <w:pPr>
        <w:pStyle w:val="Heading3"/>
      </w:pPr>
      <w:r>
        <w:t>System Architecture</w:t>
      </w:r>
    </w:p>
    <w:p>
      <w:pPr>
        <w:pStyle w:val="Heading4"/>
      </w:pPr>
      <w:r>
        <w:t>Battery Pack Specifications</w:t>
      </w:r>
    </w:p>
    <w:p>
      <w:r>
        <w:t>| Parameter | Value |</w:t>
      </w:r>
    </w:p>
    <w:p>
      <w:r>
        <w:t>|-----------|-------|</w:t>
      </w:r>
    </w:p>
    <w:p>
      <w:r>
        <w:t>| Chemistry | Lithium Iron Phosphate (LiFePO4) or NMC |</w:t>
      </w:r>
    </w:p>
    <w:p>
      <w:r>
        <w:t>| Total Capacity | 2,000 kWh (typical medium vessel) |</w:t>
      </w:r>
    </w:p>
    <w:p>
      <w:r>
        <w:t>| Nominal Voltage | 690 V DC |</w:t>
      </w:r>
    </w:p>
    <w:p>
      <w:r>
        <w:t>| Max Charge Rate | 1,000 kW |</w:t>
      </w:r>
    </w:p>
    <w:p>
      <w:r>
        <w:t>| Max Discharge Rate | 1,500 kW |</w:t>
      </w:r>
    </w:p>
    <w:p>
      <w:r>
        <w:t>| Operating SoC Range | 10% – 90% (operating), 5%–95% absolute limits |</w:t>
      </w:r>
    </w:p>
    <w:p>
      <w:r>
        <w:t>| Cell Temperature Range | 0°C – 45°C operating, &lt; 35°C preferred |</w:t>
      </w:r>
    </w:p>
    <w:p>
      <w:r>
        <w:t>| Battery Management System | BMS with cell-level monitoring |</w:t>
      </w:r>
    </w:p>
    <w:p>
      <w:pPr>
        <w:pStyle w:val="Heading4"/>
      </w:pPr>
      <w:r>
        <w:t>Diesel Generators</w:t>
      </w:r>
    </w:p>
    <w:p>
      <w:pPr>
        <w:pStyle w:val="ListBullet"/>
        <w:spacing w:after="40"/>
      </w:pPr>
      <w:r>
        <w:t>DG1: 1,500 kW</w:t>
      </w:r>
    </w:p>
    <w:p>
      <w:pPr>
        <w:pStyle w:val="ListBullet"/>
        <w:spacing w:after="40"/>
      </w:pPr>
      <w:r>
        <w:t>DG2: 1,500 kW</w:t>
      </w:r>
    </w:p>
    <w:p>
      <w:pPr>
        <w:pStyle w:val="ListBullet"/>
        <w:spacing w:after="40"/>
      </w:pPr>
      <w:r>
        <w:t>Both feed to 440V / 60Hz AC bus</w:t>
      </w:r>
    </w:p>
    <w:p>
      <w:pPr>
        <w:pStyle w:val="ListBullet"/>
        <w:spacing w:after="40"/>
      </w:pPr>
      <w:r>
        <w:t>BESS connected via bidirectional inverter to same bus</w:t>
      </w:r>
    </w:p>
    <w:p>
      <w:pPr>
        <w:pStyle w:val="Heading3"/>
      </w:pPr>
      <w:r>
        <w:t>Operating Modes</w:t>
      </w:r>
    </w:p>
    <w:p>
      <w:pPr>
        <w:pStyle w:val="Heading4"/>
      </w:pPr>
      <w:r>
        <w:t>1. Diesel Only Mode</w:t>
      </w:r>
    </w:p>
    <w:p>
      <w:pPr>
        <w:pStyle w:val="ListBullet"/>
        <w:spacing w:after="40"/>
      </w:pPr>
      <w:r>
        <w:t>All load supplied by DG1 + DG2</w:t>
      </w:r>
    </w:p>
    <w:p>
      <w:pPr>
        <w:pStyle w:val="ListBullet"/>
        <w:spacing w:after="40"/>
      </w:pPr>
      <w:r>
        <w:t>Battery in standby (no charge/discharge)</w:t>
      </w:r>
    </w:p>
    <w:p>
      <w:pPr>
        <w:pStyle w:val="ListBullet"/>
        <w:spacing w:after="40"/>
      </w:pPr>
      <w:r>
        <w:t>Traditional diesel-electric operation</w:t>
      </w:r>
    </w:p>
    <w:p>
      <w:pPr>
        <w:pStyle w:val="ListBullet"/>
        <w:spacing w:after="40"/>
      </w:pPr>
      <w:r>
        <w:t>Used when: Battery SoC low or battery system offline</w:t>
      </w:r>
    </w:p>
    <w:p>
      <w:pPr>
        <w:pStyle w:val="Heading4"/>
      </w:pPr>
      <w:r>
        <w:t>2. Hybrid Mode (Peak Shaving)</w:t>
      </w:r>
    </w:p>
    <w:p>
      <w:pPr>
        <w:pStyle w:val="ListBullet"/>
        <w:spacing w:after="40"/>
      </w:pPr>
      <w:r>
        <w:t>DGs supply base load at optimum efficiency point</w:t>
      </w:r>
    </w:p>
    <w:p>
      <w:pPr>
        <w:pStyle w:val="ListBullet"/>
        <w:spacing w:after="40"/>
      </w:pPr>
      <w:r>
        <w:t>Battery covers load peaks (e.g., bow thruster start, manoeuvring)</w:t>
      </w:r>
    </w:p>
    <w:p>
      <w:pPr>
        <w:pStyle w:val="ListBullet"/>
        <w:spacing w:after="40"/>
      </w:pPr>
      <w:r>
        <w:t>Battery charges during low-demand periods</w:t>
      </w:r>
    </w:p>
    <w:p>
      <w:pPr>
        <w:pStyle w:val="ListBullet"/>
        <w:spacing w:after="40"/>
      </w:pPr>
      <w:r>
        <w:t>Benefit: DGs run at constant optimal load → lower fuel consumption, lower NOx</w:t>
      </w:r>
    </w:p>
    <w:p>
      <w:pPr>
        <w:pStyle w:val="Heading4"/>
      </w:pPr>
      <w:r>
        <w:t>3. Battery Only (Zero Emission Mode)</w:t>
      </w:r>
    </w:p>
    <w:p>
      <w:pPr>
        <w:pStyle w:val="ListBullet"/>
        <w:spacing w:after="40"/>
      </w:pPr>
      <w:r>
        <w:t>DGs stopped</w:t>
      </w:r>
    </w:p>
    <w:p>
      <w:pPr>
        <w:pStyle w:val="ListBullet"/>
        <w:spacing w:after="40"/>
      </w:pPr>
      <w:r>
        <w:t>All load supplied from battery bank</w:t>
      </w:r>
    </w:p>
    <w:p>
      <w:pPr>
        <w:pStyle w:val="ListBullet"/>
        <w:spacing w:after="40"/>
      </w:pPr>
      <w:r>
        <w:t>Used in: ECA zones, harbour approach, marina areas</w:t>
      </w:r>
    </w:p>
    <w:p>
      <w:pPr>
        <w:pStyle w:val="ListBullet"/>
        <w:spacing w:after="40"/>
      </w:pPr>
      <w:r>
        <w:t>Duration: limited by SoC and load — typically 1–4 hours depending on capacity</w:t>
      </w:r>
    </w:p>
    <w:p>
      <w:pPr>
        <w:pStyle w:val="Heading4"/>
      </w:pPr>
      <w:r>
        <w:t>4. Charging Mode</w:t>
      </w:r>
    </w:p>
    <w:p>
      <w:pPr>
        <w:pStyle w:val="ListBullet"/>
        <w:spacing w:after="40"/>
      </w:pPr>
      <w:r>
        <w:t>DGs run at increased load to charge battery</w:t>
      </w:r>
    </w:p>
    <w:p>
      <w:pPr>
        <w:pStyle w:val="ListBullet"/>
        <w:spacing w:after="40"/>
      </w:pPr>
      <w:r>
        <w:t>Excess DG output flows to battery via inverter</w:t>
      </w:r>
    </w:p>
    <w:p>
      <w:pPr>
        <w:pStyle w:val="ListBullet"/>
        <w:spacing w:after="40"/>
      </w:pPr>
      <w:r>
        <w:t>Also: shore power charging when available</w:t>
      </w:r>
    </w:p>
    <w:p>
      <w:pPr>
        <w:pStyle w:val="Heading3"/>
      </w:pPr>
      <w:r>
        <w:t>BESS Protection System</w:t>
      </w:r>
    </w:p>
    <w:p>
      <w:r>
        <w:t>| Protection | Setpoint | Action |</w:t>
      </w:r>
    </w:p>
    <w:p>
      <w:r>
        <w:t>|-----------|----------|--------|</w:t>
      </w:r>
    </w:p>
    <w:p>
      <w:r>
        <w:t>| Over-temperature | &gt; 45°C cell temp | Disconnect, activate cooling |</w:t>
      </w:r>
    </w:p>
    <w:p>
      <w:r>
        <w:t>| Over-voltage | &gt; 100% nominal cell voltage | Disconnect battery |</w:t>
      </w:r>
    </w:p>
    <w:p>
      <w:r>
        <w:t>| Under-voltage | &lt; 10% SoC | Disconnect, start DG |</w:t>
      </w:r>
    </w:p>
    <w:p>
      <w:r>
        <w:t>| Over-current charge | &gt; Max charge rate | Limit via BMS |</w:t>
      </w:r>
    </w:p>
    <w:p>
      <w:r>
        <w:t>| Over-current discharge | &gt; Max discharge rate | Limit via BMS |</w:t>
      </w:r>
    </w:p>
    <w:p>
      <w:r>
        <w:t>| Insulation failure | &lt; 50 kΩ | Alarm, inhibit charge |</w:t>
      </w:r>
    </w:p>
    <w:p>
      <w:r>
        <w:t>| Thermal runaway detection | Gas/smoke sensors | Emergency ventilation, fire suppression |</w:t>
      </w:r>
    </w:p>
    <w:p>
      <w:pPr>
        <w:pStyle w:val="Heading3"/>
      </w:pPr>
      <w:r>
        <w:t>Peak Shaving Explained</w:t>
      </w:r>
    </w:p>
    <w:p>
      <w:r>
        <w:t>Without BESS: DGs must be sized for maximum instantaneous demand (e.g., 3,000 kW for bow thruster operation). DGs run inefficiently at partial load most of the time.</w:t>
      </w:r>
    </w:p>
    <w:p>
      <w:r>
        <w:t>With BESS: DGs sized for average load (e.g., 1,500 kW). Battery provides the transient peak. DGs run continuously at optimal load point (typically 70–85% rated power), improving:</w:t>
      </w:r>
    </w:p>
    <w:p>
      <w:pPr>
        <w:pStyle w:val="ListBullet"/>
        <w:spacing w:after="40"/>
      </w:pPr>
      <w:r>
        <w:t>Fuel consumption by 10–25%</w:t>
      </w:r>
    </w:p>
    <w:p>
      <w:pPr>
        <w:pStyle w:val="ListBullet"/>
        <w:spacing w:after="40"/>
      </w:pPr>
      <w:r>
        <w:t>NOx emissions by 15–30%</w:t>
      </w:r>
    </w:p>
    <w:p>
      <w:pPr>
        <w:pStyle w:val="ListBullet"/>
        <w:spacing w:after="40"/>
      </w:pPr>
      <w:r>
        <w:t>Maintenance intervals (less transient load cycling)</w:t>
      </w:r>
    </w:p>
    <w:p>
      <w:pPr>
        <w:pStyle w:val="Heading3"/>
      </w:pPr>
      <w:r>
        <w:t>Carbon Emission Calculation</w:t>
      </w:r>
    </w:p>
    <w:p>
      <w:r>
        <w:t>Diesel generators: approximately 200–220 g/kWh fuel consumption (g diesel/kWh electrical output)</w:t>
      </w:r>
    </w:p>
    <w:p>
      <w:r>
        <w:t>CO2 factor for marine diesel: approximately 3.17 g CO2/g fuel</w:t>
      </w:r>
    </w:p>
    <w:p>
      <w:r>
        <w:t>Therefore: 630–700 g CO2/kWh from diesel generators</w:t>
      </w:r>
    </w:p>
    <w:p>
      <w:r>
        <w:t>Battery discharge from renewable-charged grid: 0–50 g CO2/kWh (depending on source)</w:t>
      </w:r>
    </w:p>
    <w:p>
      <w:r>
        <w:t>Battery discharge from DG-charged: same as DG but with round-trip efficiency loss (~15%)</w:t>
      </w:r>
    </w:p>
    <w:p>
      <w:pPr>
        <w:pStyle w:val="Heading3"/>
      </w:pPr>
      <w:r>
        <w:t>Vessel Suitability</w:t>
      </w:r>
    </w:p>
    <w:p>
      <w:r>
        <w:t>Best suited to:</w:t>
      </w:r>
    </w:p>
    <w:p>
      <w:pPr>
        <w:pStyle w:val="ListBullet"/>
        <w:spacing w:after="40"/>
      </w:pPr>
      <w:r>
        <w:t>Ferries and RoPax (regular routes, predictable ports for charging)</w:t>
      </w:r>
    </w:p>
    <w:p>
      <w:pPr>
        <w:pStyle w:val="ListBullet"/>
        <w:spacing w:after="40"/>
      </w:pPr>
      <w:r>
        <w:t>OSVs/Platform supply vessels (transit + DP operations)</w:t>
      </w:r>
    </w:p>
    <w:p>
      <w:pPr>
        <w:pStyle w:val="ListBullet"/>
        <w:spacing w:after="40"/>
      </w:pPr>
      <w:r>
        <w:t>Harbour tugs (high transient demand + idle periods)</w:t>
      </w:r>
    </w:p>
    <w:p>
      <w:pPr>
        <w:pStyle w:val="ListBullet"/>
        <w:spacing w:after="40"/>
      </w:pPr>
      <w:r>
        <w:t>Research vessels (quiet/zero emission requirements)</w:t>
      </w:r>
    </w:p>
    <w:p>
      <w:pPr>
        <w:pStyle w:val="ListBullet"/>
        <w:spacing w:after="40"/>
      </w:pPr>
      <w:r>
        <w:t>Small cargo vessels (short-sea shipping)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