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LPG Tanker Cargo Simulator</w:t>
      </w:r>
    </w:p>
    <w:p>
      <w:pPr>
        <w:jc w:val="center"/>
      </w:pPr>
      <w:r>
        <w:rPr>
          <w:color w:val="646464"/>
          <w:sz w:val="24"/>
        </w:rPr>
        <w:t>Cargo Simulators</w:t>
      </w:r>
    </w:p>
    <w:p>
      <w:pPr>
        <w:jc w:val="center"/>
      </w:pPr>
      <w:r>
        <w:rPr>
          <w:color w:val="505050"/>
          <w:sz w:val="20"/>
        </w:rPr>
        <w:t>VLGC 84,000 m³ fully refrigerated — IGC Code 2016, STCW V/1-2. Carries propane, butane, ammonia, and VCM with Type A prismatic tanks.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VLGC 84,000 m³ fully refrigerated — IGC Code 2016, STCW V/1-2. Carries propane, butane, ammonia, and VCM with Type A prismatic tanks.</w:t>
      </w:r>
    </w:p>
    <w:p>
      <w:pPr>
        <w:pStyle w:val="Heading2"/>
      </w:pPr>
      <w:r>
        <w:t>Key Features</w:t>
      </w:r>
    </w:p>
    <w:p>
      <w:pPr>
        <w:pStyle w:val="ListBullet"/>
      </w:pPr>
      <w:r>
        <w:t>11 phases: purging, gassing-up, cooling, loading, discharge, cargo change.</w:t>
      </w:r>
    </w:p>
    <w:p>
      <w:pPr>
        <w:pStyle w:val="ListBullet"/>
      </w:pPr>
      <w:r>
        <w:t>Emergency: reliq failure, liquid deck release, ammonia exposure, ESD.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PROPANE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4.4 Pipeline Line-Up</w:t>
      </w:r>
    </w:p>
    <w:p>
      <w:r>
        <w:t>The pipeline panel allows valve-by-valve line-up verification for each operational mode.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Valve ID</w:t>
            </w:r>
          </w:p>
        </w:tc>
        <w:tc>
          <w:tcPr>
            <w:tcW w:type="dxa" w:w="432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4320"/>
          </w:tcPr>
          <w:p>
            <w:r>
              <w:t>T1_IV</w:t>
            </w:r>
          </w:p>
        </w:tc>
        <w:tc>
          <w:tcPr>
            <w:tcW w:type="dxa" w:w="4320"/>
          </w:tcPr>
          <w:p>
            <w:r>
              <w:t>No.1 Tank Dome Isolation Valve</w:t>
            </w:r>
          </w:p>
        </w:tc>
      </w:tr>
      <w:tr>
        <w:tc>
          <w:tcPr>
            <w:tcW w:type="dxa" w:w="4320"/>
          </w:tcPr>
          <w:p>
            <w:r>
              <w:t>T2_IV</w:t>
            </w:r>
          </w:p>
        </w:tc>
        <w:tc>
          <w:tcPr>
            <w:tcW w:type="dxa" w:w="4320"/>
          </w:tcPr>
          <w:p>
            <w:r>
              <w:t>No.2 Tank Dome Isolation Valve</w:t>
            </w:r>
          </w:p>
        </w:tc>
      </w:tr>
      <w:tr>
        <w:tc>
          <w:tcPr>
            <w:tcW w:type="dxa" w:w="4320"/>
          </w:tcPr>
          <w:p>
            <w:r>
              <w:t>T3_IV</w:t>
            </w:r>
          </w:p>
        </w:tc>
        <w:tc>
          <w:tcPr>
            <w:tcW w:type="dxa" w:w="4320"/>
          </w:tcPr>
          <w:p>
            <w:r>
              <w:t>No.3 Tank Dome Isolation Valve</w:t>
            </w:r>
          </w:p>
        </w:tc>
      </w:tr>
      <w:tr>
        <w:tc>
          <w:tcPr>
            <w:tcW w:type="dxa" w:w="4320"/>
          </w:tcPr>
          <w:p>
            <w:r>
              <w:t>T4_IV</w:t>
            </w:r>
          </w:p>
        </w:tc>
        <w:tc>
          <w:tcPr>
            <w:tcW w:type="dxa" w:w="4320"/>
          </w:tcPr>
          <w:p>
            <w:r>
              <w:t>No.4 Tank Dome Isolation Valve</w:t>
            </w:r>
          </w:p>
        </w:tc>
      </w:tr>
      <w:tr>
        <w:tc>
          <w:tcPr>
            <w:tcW w:type="dxa" w:w="4320"/>
          </w:tcPr>
          <w:p>
            <w:r>
              <w:t>CP1_DV</w:t>
            </w:r>
          </w:p>
        </w:tc>
        <w:tc>
          <w:tcPr>
            <w:tcW w:type="dxa" w:w="4320"/>
          </w:tcPr>
          <w:p>
            <w:r>
              <w:t>Deepwell Pump 1 Discharge Valve</w:t>
            </w:r>
          </w:p>
        </w:tc>
      </w:tr>
      <w:tr>
        <w:tc>
          <w:tcPr>
            <w:tcW w:type="dxa" w:w="4320"/>
          </w:tcPr>
          <w:p>
            <w:r>
              <w:t>CP2_DV</w:t>
            </w:r>
          </w:p>
        </w:tc>
        <w:tc>
          <w:tcPr>
            <w:tcW w:type="dxa" w:w="4320"/>
          </w:tcPr>
          <w:p>
            <w:r>
              <w:t>Deepwell Pump 2 Discharge Valve</w:t>
            </w:r>
          </w:p>
        </w:tc>
      </w:tr>
      <w:tr>
        <w:tc>
          <w:tcPr>
            <w:tcW w:type="dxa" w:w="4320"/>
          </w:tcPr>
          <w:p>
            <w:r>
              <w:t>LH_XV</w:t>
            </w:r>
          </w:p>
        </w:tc>
        <w:tc>
          <w:tcPr>
            <w:tcW w:type="dxa" w:w="4320"/>
          </w:tcPr>
          <w:p>
            <w:r>
              <w:t>Liquid Header Crossover Valve</w:t>
            </w:r>
          </w:p>
        </w:tc>
      </w:tr>
      <w:tr>
        <w:tc>
          <w:tcPr>
            <w:tcW w:type="dxa" w:w="4320"/>
          </w:tcPr>
          <w:p>
            <w:r>
              <w:t>HEATER_IV</w:t>
            </w:r>
          </w:p>
        </w:tc>
        <w:tc>
          <w:tcPr>
            <w:tcW w:type="dxa" w:w="4320"/>
          </w:tcPr>
          <w:p>
            <w:r>
              <w:t>Cargo Heater Inlet Isolation</w:t>
            </w:r>
          </w:p>
        </w:tc>
      </w:tr>
      <w:tr>
        <w:tc>
          <w:tcPr>
            <w:tcW w:type="dxa" w:w="4320"/>
          </w:tcPr>
          <w:p>
            <w:r>
              <w:t>MAN_P</w:t>
            </w:r>
          </w:p>
        </w:tc>
        <w:tc>
          <w:tcPr>
            <w:tcW w:type="dxa" w:w="4320"/>
          </w:tcPr>
          <w:p>
            <w:r>
              <w:t>Port Manifold Isolation Valve</w:t>
            </w:r>
          </w:p>
        </w:tc>
      </w:tr>
      <w:tr>
        <w:tc>
          <w:tcPr>
            <w:tcW w:type="dxa" w:w="4320"/>
          </w:tcPr>
          <w:p>
            <w:r>
              <w:t>MAN_S</w:t>
            </w:r>
          </w:p>
        </w:tc>
        <w:tc>
          <w:tcPr>
            <w:tcW w:type="dxa" w:w="4320"/>
          </w:tcPr>
          <w:p>
            <w:r>
              <w:t>Stbd Manifold Isolation Valve</w:t>
            </w:r>
          </w:p>
        </w:tc>
      </w:tr>
      <w:tr>
        <w:tc>
          <w:tcPr>
            <w:tcW w:type="dxa" w:w="4320"/>
          </w:tcPr>
          <w:p>
            <w:r>
              <w:t>VRL_IV</w:t>
            </w:r>
          </w:p>
        </w:tc>
        <w:tc>
          <w:tcPr>
            <w:tcW w:type="dxa" w:w="4320"/>
          </w:tcPr>
          <w:p>
            <w:r>
              <w:t>Vapour Return Line Isolation</w:t>
            </w:r>
          </w:p>
        </w:tc>
      </w:tr>
      <w:tr>
        <w:tc>
          <w:tcPr>
            <w:tcW w:type="dxa" w:w="4320"/>
          </w:tcPr>
          <w:p>
            <w:r>
              <w:t>VRL_MAN</w:t>
            </w:r>
          </w:p>
        </w:tc>
        <w:tc>
          <w:tcPr>
            <w:tcW w:type="dxa" w:w="4320"/>
          </w:tcPr>
          <w:p>
            <w:r>
              <w:t>Vapour Return Line Manifold</w:t>
            </w:r>
          </w:p>
        </w:tc>
      </w:tr>
      <w:tr>
        <w:tc>
          <w:tcPr>
            <w:tcW w:type="dxa" w:w="4320"/>
          </w:tcPr>
          <w:p>
            <w:r>
              <w:t>RELIQ_IN</w:t>
            </w:r>
          </w:p>
        </w:tc>
        <w:tc>
          <w:tcPr>
            <w:tcW w:type="dxa" w:w="4320"/>
          </w:tcPr>
          <w:p>
            <w:r>
              <w:t>Reliq Unit Suction Isolation</w:t>
            </w:r>
          </w:p>
        </w:tc>
      </w:tr>
      <w:tr>
        <w:tc>
          <w:tcPr>
            <w:tcW w:type="dxa" w:w="4320"/>
          </w:tcPr>
          <w:p>
            <w:r>
              <w:t>RELIQ_OUT</w:t>
            </w:r>
          </w:p>
        </w:tc>
        <w:tc>
          <w:tcPr>
            <w:tcW w:type="dxa" w:w="4320"/>
          </w:tcPr>
          <w:p>
            <w:r>
              <w:t>Reliq Unit Discharge Isolation</w:t>
            </w:r>
          </w:p>
        </w:tc>
      </w:tr>
      <w:tr>
        <w:tc>
          <w:tcPr>
            <w:tcW w:type="dxa" w:w="4320"/>
          </w:tcPr>
          <w:p>
            <w:r>
              <w:t>COMP1_SV</w:t>
            </w:r>
          </w:p>
        </w:tc>
        <w:tc>
          <w:tcPr>
            <w:tcW w:type="dxa" w:w="4320"/>
          </w:tcPr>
          <w:p>
            <w:r>
              <w:t>Compressor 1 Suction Valve</w:t>
            </w:r>
          </w:p>
        </w:tc>
      </w:tr>
      <w:tr>
        <w:tc>
          <w:tcPr>
            <w:tcW w:type="dxa" w:w="4320"/>
          </w:tcPr>
          <w:p>
            <w:r>
              <w:t>COMP2_SV</w:t>
            </w:r>
          </w:p>
        </w:tc>
        <w:tc>
          <w:tcPr>
            <w:tcW w:type="dxa" w:w="4320"/>
          </w:tcPr>
          <w:p>
            <w:r>
              <w:t>Compressor 2 Suction Valve</w:t>
            </w:r>
          </w:p>
        </w:tc>
      </w:tr>
      <w:tr>
        <w:tc>
          <w:tcPr>
            <w:tcW w:type="dxa" w:w="4320"/>
          </w:tcPr>
          <w:p>
            <w:r>
              <w:t>N2_IV</w:t>
            </w:r>
          </w:p>
        </w:tc>
        <w:tc>
          <w:tcPr>
            <w:tcW w:type="dxa" w:w="4320"/>
          </w:tcPr>
          <w:p>
            <w:r>
              <w:t>N₂ Hold Space Inlet Valve</w:t>
            </w:r>
          </w:p>
        </w:tc>
      </w:tr>
    </w:tbl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01 LPG Tanker Reference</w:t>
      </w:r>
    </w:p>
    <w:p>
      <w:pPr>
        <w:pStyle w:val="Heading2"/>
      </w:pPr>
      <w:r>
        <w:t>LPG Tanker (VLGC) Cargo Simulator — Regulatory Reference</w:t>
      </w:r>
    </w:p>
    <w:p>
      <w:pPr>
        <w:pStyle w:val="Heading3"/>
      </w:pPr>
      <w:r>
        <w:t>IGC Code 2016 · STCW V/1-2 · SIGTTO · −55°C Fully Refrigerated · Type A Tanks</w:t>
      </w:r>
    </w:p>
    <w:p>
      <w:r>
        <w:t>---</w:t>
      </w:r>
    </w:p>
    <w:p>
      <w:pPr>
        <w:pStyle w:val="Heading3"/>
      </w:pPr>
      <w:r>
        <w:t>1. VLGC vs LNG Carrier Key Differences</w:t>
      </w:r>
    </w:p>
    <w:p>
      <w:r>
        <w:t>| Feature | LNG Carrier | VLGC (LPG) |</w:t>
      </w:r>
    </w:p>
    <w:p>
      <w:r>
        <w:t>|---------|------------|-------------|</w:t>
      </w:r>
    </w:p>
    <w:p>
      <w:r>
        <w:t>| Temperature | −162°C | −55°C (propane −42°C) |</w:t>
      </w:r>
    </w:p>
    <w:p>
      <w:r>
        <w:t>| Pressure | Atmospheric | Atmospheric (fully refrigerated) |</w:t>
      </w:r>
    </w:p>
    <w:p>
      <w:r>
        <w:t>| Tank type | Membrane or Moss Type B | Type A prismatic |</w:t>
      </w:r>
    </w:p>
    <w:p>
      <w:r>
        <w:t>| BOG | 0.07–0.15%/day | Lower — better insulation ratio |</w:t>
      </w:r>
    </w:p>
    <w:p>
      <w:r>
        <w:t>| Secondary barrier | Required (independent) | Required — hull acts as secondary |</w:t>
      </w:r>
    </w:p>
    <w:p>
      <w:r>
        <w:t>| Hold space | Inerted with N₂/IG | Inerted when flammable cargo |</w:t>
      </w:r>
    </w:p>
    <w:p>
      <w:r>
        <w:t>| Discharge | Deepwell to re-gas terminal | To pressurised OR refrigerated storage |</w:t>
      </w:r>
    </w:p>
    <w:p>
      <w:r>
        <w:t>| Cargoes | Methane only | Propane, Butane, Ammonia, VCM, Propylene |</w:t>
      </w:r>
    </w:p>
    <w:p>
      <w:r>
        <w:t>| Size | 125,000–266,000 m³ | 50,000–84,000 m³ (VLGC) |</w:t>
      </w:r>
    </w:p>
    <w:p>
      <w:r>
        <w:t>---</w:t>
      </w:r>
    </w:p>
    <w:p>
      <w:pPr>
        <w:pStyle w:val="Heading3"/>
      </w:pPr>
      <w:r>
        <w:t>2. Cargo Types on VLGC</w:t>
      </w:r>
    </w:p>
    <w:p>
      <w:pPr>
        <w:pStyle w:val="Heading4"/>
      </w:pPr>
      <w:r>
        <w:t>Propane (C₃H₈)</w:t>
      </w:r>
    </w:p>
    <w:p>
      <w:pPr>
        <w:pStyle w:val="ListBullet"/>
        <w:spacing w:after="40"/>
      </w:pPr>
      <w:r>
        <w:t>Boiling point: −42°C at atmospheric pressure</w:t>
      </w:r>
    </w:p>
    <w:p>
      <w:pPr>
        <w:pStyle w:val="ListBullet"/>
        <w:spacing w:after="40"/>
      </w:pPr>
      <w:r>
        <w:t>Vapour density: 1.5× air — **SINKS**</w:t>
      </w:r>
    </w:p>
    <w:p>
      <w:pPr>
        <w:pStyle w:val="ListBullet"/>
        <w:spacing w:after="40"/>
      </w:pPr>
      <w:r>
        <w:t>LEL: 2.1%, UEL: 9.5%</w:t>
      </w:r>
    </w:p>
    <w:p>
      <w:pPr>
        <w:pStyle w:val="ListBullet"/>
        <w:spacing w:after="40"/>
      </w:pPr>
      <w:r>
        <w:t>Detectors at FLOOR LEVEL</w:t>
      </w:r>
    </w:p>
    <w:p>
      <w:pPr>
        <w:pStyle w:val="ListBullet"/>
        <w:spacing w:after="40"/>
      </w:pPr>
      <w:r>
        <w:t>Fully refrigerated at −42°C / near atmospheric</w:t>
      </w:r>
    </w:p>
    <w:p>
      <w:pPr>
        <w:pStyle w:val="Heading4"/>
      </w:pPr>
      <w:r>
        <w:t>Butane (C₄H₁₀)</w:t>
      </w:r>
    </w:p>
    <w:p>
      <w:pPr>
        <w:pStyle w:val="ListBullet"/>
        <w:spacing w:after="40"/>
      </w:pPr>
      <w:r>
        <w:t>Boiling point: −1°C at atmospheric pressure</w:t>
      </w:r>
    </w:p>
    <w:p>
      <w:pPr>
        <w:pStyle w:val="ListBullet"/>
        <w:spacing w:after="40"/>
      </w:pPr>
      <w:r>
        <w:t>Even denser vapour than propane</w:t>
      </w:r>
    </w:p>
    <w:p>
      <w:pPr>
        <w:pStyle w:val="ListBullet"/>
        <w:spacing w:after="40"/>
      </w:pPr>
      <w:r>
        <w:t>Sometimes carried at slightly elevated pressure when ambient temperature &gt; boiling point</w:t>
      </w:r>
    </w:p>
    <w:p>
      <w:pPr>
        <w:pStyle w:val="ListBullet"/>
        <w:spacing w:after="40"/>
      </w:pPr>
      <w:r>
        <w:t>LEL: 1.8%, UEL: 8.4%</w:t>
      </w:r>
    </w:p>
    <w:p>
      <w:pPr>
        <w:pStyle w:val="Heading4"/>
      </w:pPr>
      <w:r>
        <w:t>Ammonia (NH₃)</w:t>
      </w:r>
    </w:p>
    <w:p>
      <w:pPr>
        <w:pStyle w:val="ListBullet"/>
        <w:spacing w:after="40"/>
      </w:pPr>
      <w:r>
        <w:t>Boiling point: −33°C</w:t>
      </w:r>
    </w:p>
    <w:p>
      <w:pPr>
        <w:pStyle w:val="ListBullet"/>
        <w:spacing w:after="40"/>
      </w:pPr>
      <w:r>
        <w:t>**TOXIC** — IDLH 300 ppm</w:t>
      </w:r>
    </w:p>
    <w:p>
      <w:pPr>
        <w:pStyle w:val="ListBullet"/>
        <w:spacing w:after="40"/>
      </w:pPr>
      <w:r>
        <w:t>Vapour density: 0.6× air — rises (unlike propane)</w:t>
      </w:r>
    </w:p>
    <w:p>
      <w:pPr>
        <w:pStyle w:val="ListBullet"/>
        <w:spacing w:after="40"/>
      </w:pPr>
      <w:r>
        <w:t>Completely incompatible with copper, brass, zinc — all fittings must be SS or carbon steel</w:t>
      </w:r>
    </w:p>
    <w:p>
      <w:pPr>
        <w:pStyle w:val="ListBullet"/>
        <w:spacing w:after="40"/>
      </w:pPr>
      <w:r>
        <w:t>Requires SCBA for all cargo connection work</w:t>
      </w:r>
    </w:p>
    <w:p>
      <w:pPr>
        <w:pStyle w:val="ListBullet"/>
        <w:spacing w:after="40"/>
      </w:pPr>
      <w:r>
        <w:t>Maximum allowable concentration (MAC): 25 ppm (8-hour)</w:t>
      </w:r>
    </w:p>
    <w:p>
      <w:pPr>
        <w:pStyle w:val="ListBullet"/>
        <w:spacing w:after="40"/>
      </w:pPr>
      <w:r>
        <w:t>Water-soluble — dilution with water effective for spills</w:t>
      </w:r>
    </w:p>
    <w:p>
      <w:pPr>
        <w:pStyle w:val="Heading4"/>
      </w:pPr>
      <w:r>
        <w:t>VCM (Vinyl Chloride Monomer) / Propylene</w:t>
      </w:r>
    </w:p>
    <w:p>
      <w:pPr>
        <w:pStyle w:val="ListBullet"/>
        <w:spacing w:after="40"/>
      </w:pPr>
      <w:r>
        <w:t>Additional refrigeration requirements</w:t>
      </w:r>
    </w:p>
    <w:p>
      <w:pPr>
        <w:pStyle w:val="ListBullet"/>
        <w:spacing w:after="40"/>
      </w:pPr>
      <w:r>
        <w:t>Strict compatibility checks with tank materials and seals</w:t>
      </w:r>
    </w:p>
    <w:p>
      <w:r>
        <w:t>---</w:t>
      </w:r>
    </w:p>
    <w:p>
      <w:pPr>
        <w:pStyle w:val="Heading3"/>
      </w:pPr>
      <w:r>
        <w:t>3. IGC Code — Type A Tank Requirements</w:t>
      </w:r>
    </w:p>
    <w:p>
      <w:r>
        <w:t>Type A tanks — prismatic, flat-surfaced, atmospheric boiling point cargo:</w:t>
      </w:r>
    </w:p>
    <w:p>
      <w:pPr>
        <w:pStyle w:val="ListBullet"/>
        <w:spacing w:after="40"/>
      </w:pPr>
      <w:r>
        <w:t>Maximum design pressure: 0.7 barg</w:t>
      </w:r>
    </w:p>
    <w:p>
      <w:pPr>
        <w:pStyle w:val="ListBullet"/>
        <w:spacing w:after="40"/>
      </w:pPr>
      <w:r>
        <w:t>**Secondary barrier: MANDATORY — must contain complete tank volume at defined heel**</w:t>
      </w:r>
    </w:p>
    <w:p>
      <w:pPr>
        <w:pStyle w:val="ListBullet"/>
        <w:spacing w:after="40"/>
      </w:pPr>
      <w:r>
        <w:t>Secondary barrier must contain leakage for ≥ 15 days</w:t>
      </w:r>
    </w:p>
    <w:p>
      <w:pPr>
        <w:pStyle w:val="ListBullet"/>
        <w:spacing w:after="40"/>
      </w:pPr>
      <w:r>
        <w:t>Hold space between primary and secondary barrier: inerted with N₂/IG when carrying flammable cargoes</w:t>
      </w:r>
    </w:p>
    <w:p>
      <w:pPr>
        <w:pStyle w:val="ListBullet"/>
        <w:spacing w:after="40"/>
      </w:pPr>
      <w:r>
        <w:t>Hold space O₂ &lt; 2% at all times (flammable cargoes)</w:t>
      </w:r>
    </w:p>
    <w:p>
      <w:pPr>
        <w:pStyle w:val="ListBullet"/>
        <w:spacing w:after="40"/>
      </w:pPr>
      <w:r>
        <w:t>Material: Carbon-manganese steel or special alloy (for −55°C, fine-grain C-Mn steel; below −55°C requires nickel alloy)</w:t>
      </w:r>
    </w:p>
    <w:p>
      <w:r>
        <w:t>PRV (Pressure Relief Valve) settings for Type A:</w:t>
      </w:r>
    </w:p>
    <w:p>
      <w:pPr>
        <w:pStyle w:val="ListBullet"/>
        <w:spacing w:after="40"/>
      </w:pPr>
      <w:r>
        <w:t>Typical set pressure: 0.25 barg</w:t>
      </w:r>
    </w:p>
    <w:p>
      <w:pPr>
        <w:pStyle w:val="ListBullet"/>
        <w:spacing w:after="40"/>
      </w:pPr>
      <w:r>
        <w:t>If tank pressure rises above PRV setting → vents to vent mast</w:t>
      </w:r>
    </w:p>
    <w:p>
      <w:pPr>
        <w:pStyle w:val="ListBullet"/>
        <w:spacing w:after="40"/>
      </w:pPr>
      <w:r>
        <w:t>This indicates: reliquefaction failed or BOG exceeds reliq capacity</w:t>
      </w:r>
    </w:p>
    <w:p>
      <w:r>
        <w:t>---</w:t>
      </w:r>
    </w:p>
    <w:p>
      <w:pPr>
        <w:pStyle w:val="Heading3"/>
      </w:pPr>
      <w:r>
        <w:t>4. Reliquefaction Plant</w:t>
      </w:r>
    </w:p>
    <w:p>
      <w:r>
        <w:t>Key difference from LNG carriers: LPG reliquefaction is simpler (higher boiling points):</w:t>
      </w:r>
    </w:p>
    <w:p>
      <w:pPr>
        <w:pStyle w:val="ListBullet"/>
        <w:spacing w:after="40"/>
      </w:pPr>
      <w:r>
        <w:t>Refrigerant: usually the cargo itself (propane as refrigerant for propane service)</w:t>
      </w:r>
    </w:p>
    <w:p>
      <w:pPr>
        <w:pStyle w:val="ListBullet"/>
        <w:spacing w:after="40"/>
      </w:pPr>
      <w:r>
        <w:t>Two-stage compression typical</w:t>
      </w:r>
    </w:p>
    <w:p>
      <w:pPr>
        <w:pStyle w:val="ListBullet"/>
        <w:spacing w:after="40"/>
      </w:pPr>
      <w:r>
        <w:t>First stage: suction from tank → intermediate pressure</w:t>
      </w:r>
    </w:p>
    <w:p>
      <w:pPr>
        <w:pStyle w:val="ListBullet"/>
        <w:spacing w:after="40"/>
      </w:pPr>
      <w:r>
        <w:t>Second stage: compress to condensing pressure</w:t>
      </w:r>
    </w:p>
    <w:p>
      <w:pPr>
        <w:pStyle w:val="ListBullet"/>
        <w:spacing w:after="40"/>
      </w:pPr>
      <w:r>
        <w:t>Condenser: seawater or air-cooled</w:t>
      </w:r>
    </w:p>
    <w:p>
      <w:pPr>
        <w:pStyle w:val="ListBullet"/>
        <w:spacing w:after="40"/>
      </w:pPr>
      <w:r>
        <w:t>Condensate returns to tank</w:t>
      </w:r>
    </w:p>
    <w:p>
      <w:r>
        <w:t>If reliquefaction fails:</w:t>
      </w:r>
    </w:p>
    <w:p>
      <w:r>
        <w:t>1. Tank pressure rises</w:t>
      </w:r>
    </w:p>
    <w:p>
      <w:r>
        <w:t>2. PRV may lift → controlled vent to mast</w:t>
      </w:r>
    </w:p>
    <w:p>
      <w:r>
        <w:t>3. Reduce cargo temperature by connecting to emergency cooling</w:t>
      </w:r>
    </w:p>
    <w:p>
      <w:r>
        <w:t>4. Contact reliq maker and class</w:t>
      </w:r>
    </w:p>
    <w:p>
      <w:r>
        <w:t>---</w:t>
      </w:r>
    </w:p>
    <w:p>
      <w:pPr>
        <w:pStyle w:val="Heading3"/>
      </w:pPr>
      <w:r>
        <w:t>5. Hold Space Inerting</w:t>
      </w:r>
    </w:p>
    <w:p>
      <w:r>
        <w:t>IGC Code requirement — when carrying flammable cargo:</w:t>
      </w:r>
    </w:p>
    <w:p>
      <w:pPr>
        <w:pStyle w:val="ListBullet"/>
        <w:spacing w:after="40"/>
      </w:pPr>
      <w:r>
        <w:t>Hold spaces continuously inerted</w:t>
      </w:r>
    </w:p>
    <w:p>
      <w:pPr>
        <w:pStyle w:val="ListBullet"/>
        <w:spacing w:after="40"/>
      </w:pPr>
      <w:r>
        <w:t>O₂ &lt; 2% vol</w:t>
      </w:r>
    </w:p>
    <w:p>
      <w:pPr>
        <w:pStyle w:val="ListBullet"/>
        <w:spacing w:after="40"/>
      </w:pPr>
      <w:r>
        <w:t>N₂ generator or IG generator supplies inert gas</w:t>
      </w:r>
    </w:p>
    <w:p>
      <w:pPr>
        <w:pStyle w:val="ListBullet"/>
        <w:spacing w:after="40"/>
      </w:pPr>
      <w:r>
        <w:t>HC detectors monitor hold spaces — any HC rise indicates secondary barrier leak</w:t>
      </w:r>
    </w:p>
    <w:p>
      <w:pPr>
        <w:pStyle w:val="ListBullet"/>
        <w:spacing w:after="40"/>
      </w:pPr>
      <w:r>
        <w:t>If HC detected: ESD standby, investigate, reduce cargo tank pressure</w:t>
      </w:r>
    </w:p>
    <w:p>
      <w:r>
        <w:t>---</w:t>
      </w:r>
    </w:p>
    <w:p>
      <w:pPr>
        <w:pStyle w:val="Heading3"/>
      </w:pPr>
      <w:r>
        <w:t>6. Discharge — Pressurised vs Refrigerated Storage</w:t>
      </w:r>
    </w:p>
    <w:p>
      <w:r>
        <w:t>VLGC can discharge to both types (more flexible than LNG):</w:t>
      </w:r>
    </w:p>
    <w:p>
      <w:r>
        <w:t>Refrigerated shore storage:</w:t>
      </w:r>
    </w:p>
    <w:p>
      <w:pPr>
        <w:pStyle w:val="ListBullet"/>
        <w:spacing w:after="40"/>
      </w:pPr>
      <w:r>
        <w:t>Discharge at low temperature — liquid pumped directly</w:t>
      </w:r>
    </w:p>
    <w:p>
      <w:pPr>
        <w:pStyle w:val="ListBullet"/>
        <w:spacing w:after="40"/>
      </w:pPr>
      <w:r>
        <w:t>Simple — minimal cargo heating required</w:t>
      </w:r>
    </w:p>
    <w:p>
      <w:pPr>
        <w:pStyle w:val="ListBullet"/>
        <w:spacing w:after="40"/>
      </w:pPr>
      <w:r>
        <w:t>Most large import terminals</w:t>
      </w:r>
    </w:p>
    <w:p>
      <w:r>
        <w:t>Pressurised shore storage:</w:t>
      </w:r>
    </w:p>
    <w:p>
      <w:pPr>
        <w:pStyle w:val="ListBullet"/>
        <w:spacing w:after="40"/>
      </w:pPr>
      <w:r>
        <w:t>Cargo must be warmed to above boiling point before discharge</w:t>
      </w:r>
    </w:p>
    <w:p>
      <w:pPr>
        <w:pStyle w:val="ListBullet"/>
        <w:spacing w:after="40"/>
      </w:pPr>
      <w:r>
        <w:t>Cargo heater warms LPG</w:t>
      </w:r>
    </w:p>
    <w:p>
      <w:pPr>
        <w:pStyle w:val="ListBullet"/>
        <w:spacing w:after="40"/>
      </w:pPr>
      <w:r>
        <w:t>Booster pumps increase discharge pressure</w:t>
      </w:r>
    </w:p>
    <w:p>
      <w:pPr>
        <w:pStyle w:val="ListBullet"/>
        <w:spacing w:after="40"/>
      </w:pPr>
      <w:r>
        <w:t>Typical at smaller regional terminals</w:t>
      </w:r>
    </w:p>
    <w:p>
      <w:r>
        <w:t>---</w:t>
      </w:r>
    </w:p>
    <w:p>
      <w:pPr>
        <w:pStyle w:val="Heading3"/>
      </w:pPr>
      <w:r>
        <w:t>7. Cargo Change Procedure</w:t>
      </w:r>
    </w:p>
    <w:p>
      <w:r>
        <w:t>When changing from one cargo grade to another (e.g., propane to ammonia):</w:t>
      </w:r>
    </w:p>
    <w:p>
      <w:r>
        <w:t>1. Pump previous cargo to lowest possible residue</w:t>
      </w:r>
    </w:p>
    <w:p>
      <w:r>
        <w:t>2. Purge with inert gas (N₂) — purge previous cargo vapour from tank</w:t>
      </w:r>
    </w:p>
    <w:p>
      <w:r>
        <w:t>3. Confirm O₂ and HC levels after purging</w:t>
      </w:r>
    </w:p>
    <w:p>
      <w:r>
        <w:t>4. Check compatibility matrix — new vs previous cargo</w:t>
      </w:r>
    </w:p>
    <w:p>
      <w:r>
        <w:t>5. Review MSDS for new cargo</w:t>
      </w:r>
    </w:p>
    <w:p>
      <w:r>
        <w:t>6. Update IGC COF if new cargo type not previously approved</w:t>
      </w:r>
    </w:p>
    <w:p>
      <w:r>
        <w:t>7. Check all fittings, seals, gaskets for compatibility with new cargo</w:t>
      </w:r>
    </w:p>
    <w:p>
      <w:r>
        <w:t>Critical incompatibilities:</w:t>
      </w:r>
    </w:p>
    <w:p>
      <w:pPr>
        <w:pStyle w:val="ListBullet"/>
        <w:spacing w:after="40"/>
      </w:pPr>
      <w:r>
        <w:t>Ammonia AFTER any hydrocarbon: complete purge required — avoid formation of explosive mixtures</w:t>
      </w:r>
    </w:p>
    <w:p>
      <w:pPr>
        <w:pStyle w:val="ListBullet"/>
        <w:spacing w:after="40"/>
      </w:pPr>
      <w:r>
        <w:t>Any cargo AFTER ammonia: purge required — residual ammonia is toxic</w:t>
      </w:r>
    </w:p>
    <w:p>
      <w:r>
        <w:t>---</w:t>
      </w:r>
    </w:p>
    <w:p>
      <w:pPr>
        <w:pStyle w:val="Heading3"/>
      </w:pPr>
      <w:r>
        <w:t>8. LPG as Ship Fuel (IGC Code §16.9)</w:t>
      </w:r>
    </w:p>
    <w:p>
      <w:r>
        <w:t>Modern VLGCs increasingly use cargo LPG as ship fuel:</w:t>
      </w:r>
    </w:p>
    <w:p>
      <w:pPr>
        <w:pStyle w:val="ListBullet"/>
        <w:spacing w:after="40"/>
      </w:pPr>
      <w:r>
        <w:t>Approved per IGC Code §16.9 — use of cargo as fuel</w:t>
      </w:r>
    </w:p>
    <w:p>
      <w:pPr>
        <w:pStyle w:val="ListBullet"/>
        <w:spacing w:after="40"/>
      </w:pPr>
      <w:r>
        <w:t>MAN ES ME-LGI engine — dual fuel, LPG injection</w:t>
      </w:r>
    </w:p>
    <w:p>
      <w:pPr>
        <w:pStyle w:val="ListBullet"/>
        <w:spacing w:after="40"/>
      </w:pPr>
      <w:r>
        <w:t>ABS, LR, DNV all have class notations</w:t>
      </w:r>
    </w:p>
    <w:p>
      <w:pPr>
        <w:pStyle w:val="ListBullet"/>
        <w:spacing w:after="40"/>
      </w:pPr>
      <w:r>
        <w:t>Fuel supply system (FGSS) separate from cargo system</w:t>
      </w:r>
    </w:p>
    <w:p>
      <w:pPr>
        <w:pStyle w:val="ListBullet"/>
        <w:spacing w:after="40"/>
      </w:pPr>
      <w:r>
        <w:t>Significant commercial advantage: eliminates or reduces bunker fuel cost on large voyages (Middle East → Japan)</w:t>
      </w:r>
    </w:p>
    <w:p>
      <w:r>
        <w:t>---</w:t>
      </w:r>
    </w:p>
    <w:p>
      <w:pPr>
        <w:pStyle w:val="Heading3"/>
      </w:pPr>
      <w:r>
        <w:t>9. Emergency Procedures</w:t>
      </w:r>
    </w:p>
    <w:p>
      <w:pPr>
        <w:pStyle w:val="Heading4"/>
      </w:pPr>
      <w:r>
        <w:t>Reliquefaction Failure</w:t>
      </w:r>
    </w:p>
    <w:p>
      <w:r>
        <w:t>1. Monitor tank pressure — if rising</w:t>
      </w:r>
    </w:p>
    <w:p>
      <w:r>
        <w:t>2. Reduce speed if possible — less heat input</w:t>
      </w:r>
    </w:p>
    <w:p>
      <w:r>
        <w:t>3. Prepare vent mast for controlled release</w:t>
      </w:r>
    </w:p>
    <w:p>
      <w:r>
        <w:t>4. Contact technical superintendent</w:t>
      </w:r>
    </w:p>
    <w:p>
      <w:pPr>
        <w:pStyle w:val="Heading4"/>
      </w:pPr>
      <w:r>
        <w:t>LPG Liquid Release on Deck</w:t>
      </w:r>
    </w:p>
    <w:p>
      <w:pPr>
        <w:pStyle w:val="ListBullet"/>
        <w:spacing w:after="40"/>
      </w:pPr>
      <w:r>
        <w:t>LPG vapour SINKS — accumulates in bilge, low spaces</w:t>
      </w:r>
    </w:p>
    <w:p>
      <w:pPr>
        <w:pStyle w:val="ListBullet"/>
        <w:spacing w:after="40"/>
      </w:pPr>
      <w:r>
        <w:t>No ignition sources — remove all hot work permits</w:t>
      </w:r>
    </w:p>
    <w:p>
      <w:pPr>
        <w:pStyle w:val="ListBullet"/>
        <w:spacing w:after="40"/>
      </w:pPr>
      <w:r>
        <w:t>Activate water curtain</w:t>
      </w:r>
    </w:p>
    <w:p>
      <w:pPr>
        <w:pStyle w:val="ListBullet"/>
        <w:spacing w:after="40"/>
      </w:pPr>
      <w:r>
        <w:t>Evacuate downwind</w:t>
      </w:r>
    </w:p>
    <w:p>
      <w:pPr>
        <w:pStyle w:val="ListBullet"/>
        <w:spacing w:after="40"/>
      </w:pPr>
      <w:r>
        <w:t>Allow controlled vaporisation — do not apply water to liquid</w:t>
      </w:r>
    </w:p>
    <w:p>
      <w:pPr>
        <w:pStyle w:val="Heading4"/>
      </w:pPr>
      <w:r>
        <w:t>Ammonia Exposure</w:t>
      </w:r>
    </w:p>
    <w:p>
      <w:pPr>
        <w:pStyle w:val="ListBullet"/>
        <w:spacing w:after="40"/>
      </w:pPr>
      <w:r>
        <w:t>SCBA mandatory at IDLH 300 ppm</w:t>
      </w:r>
    </w:p>
    <w:p>
      <w:pPr>
        <w:pStyle w:val="ListBullet"/>
        <w:spacing w:after="40"/>
      </w:pPr>
      <w:r>
        <w:t>Move victim to fresh air upwind</w:t>
      </w:r>
    </w:p>
    <w:p>
      <w:pPr>
        <w:pStyle w:val="ListBullet"/>
        <w:spacing w:after="40"/>
      </w:pPr>
      <w:r>
        <w:t>Water wash if skin contact</w:t>
      </w:r>
    </w:p>
    <w:p>
      <w:pPr>
        <w:pStyle w:val="ListBullet"/>
        <w:spacing w:after="40"/>
      </w:pPr>
      <w:r>
        <w:t>Activate water spray to dilute vapour</w:t>
      </w:r>
    </w:p>
    <w:p>
      <w:pPr>
        <w:pStyle w:val="ListBullet"/>
        <w:spacing w:after="40"/>
      </w:pPr>
      <w:r>
        <w:t>Medical attention mandatory for any exposure &gt;25 ppm</w:t>
      </w:r>
    </w:p>
    <w:p>
      <w:r>
        <w:t>---</w:t>
      </w:r>
    </w:p>
    <w:p>
      <w:pPr>
        <w:pStyle w:val="Heading3"/>
      </w:pPr>
      <w:r>
        <w:t>10. Sources</w:t>
      </w:r>
    </w:p>
    <w:p>
      <w:r>
        <w:t>1. IGC Code (IMO MSC.391(95), 2016) — Chapter 4 (tank types), Chapter 8 (hold spaces), Chapter 16 (cargo as fuel)</w:t>
      </w:r>
    </w:p>
    <w:p>
      <w:r>
        <w:t>2. STCW V/1-2 — Advanced Training for Liquefied Gas Tanker Cargo Operations</w:t>
      </w:r>
    </w:p>
    <w:p>
      <w:r>
        <w:t>3. SIGTTO — Ship/Shore Safety Checklist for LPG Tankers</w:t>
      </w:r>
    </w:p>
    <w:p>
      <w:r>
        <w:t>4. cultofsea.com — Gas Tanker Types, Tanks, Reliquefaction (July 2019)</w:t>
      </w:r>
    </w:p>
    <w:p>
      <w:r>
        <w:t>5. Wikipedia — Gas carrier (October 2025) — VLGC specifications and tank types</w:t>
      </w:r>
    </w:p>
    <w:p>
      <w:r>
        <w:t>6. sea-man.org — LNG/LPG Reliquefaction plant (June 2024)</w:t>
      </w:r>
    </w:p>
    <w:p>
      <w:r>
        <w:t>7. owaysonline.com — Liquefied Gas Cargoes — Type A tanks (February 2025)</w:t>
      </w:r>
    </w:p>
    <w:p>
      <w:r>
        <w:t>8. sea-man.org — Tank types for liquefied gas (November 2022)</w:t>
      </w:r>
    </w:p>
    <w:p>
      <w:r>
        <w:t>9. Wärtsilä Gas Solutions — Cargo handling systems for VLEC/VLGC</w:t>
      </w:r>
    </w:p>
    <w:p>
      <w:r>
        <w:t>10. Riviera MMR — "Five lessons about VLEC design" (ABS experience)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