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Fixed CO2 Flooding System</w:t>
      </w:r>
    </w:p>
    <w:p>
      <w:pPr>
        <w:jc w:val="center"/>
      </w:pPr>
      <w:r>
        <w:rPr>
          <w:color w:val="646464"/>
          <w:sz w:val="24"/>
        </w:rPr>
        <w:t>Safety &amp; Emergency</w:t>
      </w:r>
    </w:p>
    <w:p>
      <w:pPr>
        <w:jc w:val="center"/>
      </w:pPr>
      <w:r>
        <w:rPr>
          <w:color w:val="505050"/>
          <w:sz w:val="20"/>
        </w:rPr>
        <w:t>High-pressure CO2 total flooding system simulator for engine room and cargo pump room. Covers full discharge sequence, boundary damper control, and evacuation procedures per SOLAS II-2/Reg.10, FSS Code Ch.5, and IACS UR F15.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High-pressure CO2 total flooding system simulator for engine room and cargo pump room. Covers full discharge sequence, boundary damper control, and evacuation procedures per SOLAS II-2/Reg.10, FSS Code Ch.5, and IACS UR F15.</w:t>
      </w:r>
    </w:p>
    <w:p>
      <w:pPr>
        <w:pStyle w:val="Heading2"/>
      </w:pPr>
      <w:r>
        <w:t>Key Features</w:t>
      </w:r>
    </w:p>
    <w:p>
      <w:pPr>
        <w:pStyle w:val="ListBullet"/>
      </w:pPr>
      <w:r>
        <w:t>72-cylinder CO2 bank with reserve tracking and pressure monitoring.</w:t>
      </w:r>
    </w:p>
    <w:p>
      <w:pPr>
        <w:pStyle w:val="ListBullet"/>
      </w:pPr>
      <w:r>
        <w:t>Two-zone selector (Engine Room / Cargo Pump Room) with independent valve control.</w:t>
      </w:r>
    </w:p>
    <w:p>
      <w:pPr>
        <w:pStyle w:val="ListBullet"/>
      </w:pPr>
      <w:r>
        <w:t>Full discharge sequence: pre-alarm, ventilation shutdown, 20-second delay, CO2 release.</w:t>
      </w:r>
    </w:p>
    <w:p>
      <w:pPr>
        <w:pStyle w:val="ListBullet"/>
      </w:pPr>
      <w:r>
        <w:t>CO2 concentration gauge rising to design 40% v/v with visual flooding animation.</w:t>
      </w:r>
    </w:p>
    <w:p>
      <w:pPr>
        <w:pStyle w:val="ListBullet"/>
      </w:pPr>
      <w:r>
        <w:t>Six boundary damper status indicators with interlock logic.</w:t>
      </w:r>
    </w:p>
    <w:p>
      <w:pPr>
        <w:pStyle w:val="ListBullet"/>
      </w:pPr>
      <w:r>
        <w:t>Personnel evacuation checklist interlock before discharge authorization.</w:t>
      </w:r>
    </w:p>
    <w:p>
      <w:pPr>
        <w:pStyle w:val="ListBullet"/>
      </w:pPr>
      <w:r>
        <w:t>Scenarios: Normal ER Flooding Drill, Abort Sequence, System Fault.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CONTROL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CO2 SYSTEM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EVACUATION CHECKLIST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EVENT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PARAMETERS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Fixed CO2 Flooding System — Technical Reference</w:t>
      </w:r>
    </w:p>
    <w:p>
      <w:pPr>
        <w:pStyle w:val="Heading3"/>
      </w:pPr>
      <w:r>
        <w:t>Overview</w:t>
      </w:r>
    </w:p>
    <w:p>
      <w:r>
        <w:t>A fixed high-pressure CO2 total flooding system provides fire suppression in enclosed spaces aboard vessels (engine room, cargo pump room). CO2 is stored in high-pressure cylinders at approximately 55–60 bar and is released via a series of pilot cylinders and zone selector valves into the protected space.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**SOLAS II-2/Regulation 10** — Fire extinguishing systems</w:t>
      </w:r>
    </w:p>
    <w:p>
      <w:pPr>
        <w:pStyle w:val="ListBullet"/>
        <w:spacing w:after="40"/>
      </w:pPr>
      <w:r>
        <w:t>**FSS Code Chapter 5** — Fixed gas fire-extinguishing systems</w:t>
      </w:r>
    </w:p>
    <w:p>
      <w:pPr>
        <w:pStyle w:val="ListBullet"/>
        <w:spacing w:after="40"/>
      </w:pPr>
      <w:r>
        <w:t>**IACS Unified Requirement F15** — CO2 systems for engine rooms</w:t>
      </w:r>
    </w:p>
    <w:p>
      <w:pPr>
        <w:pStyle w:val="ListBullet"/>
        <w:spacing w:after="40"/>
      </w:pPr>
      <w:r>
        <w:t>**IMO MSC/Circ.1318** — Guidelines for CO2 system maintenance</w:t>
      </w:r>
    </w:p>
    <w:p>
      <w:pPr>
        <w:pStyle w:val="Heading3"/>
      </w:pPr>
      <w:r>
        <w:t>System Components</w:t>
      </w:r>
    </w:p>
    <w:p>
      <w:pPr>
        <w:pStyle w:val="Heading4"/>
      </w:pPr>
      <w:r>
        <w:t>Cylinder Bank</w:t>
      </w:r>
    </w:p>
    <w:p>
      <w:r>
        <w:t>| Parameter | Value |</w:t>
      </w:r>
    </w:p>
    <w:p>
      <w:r>
        <w:t>|-----------|-------|</w:t>
      </w:r>
    </w:p>
    <w:p>
      <w:r>
        <w:t>| Total main cylinders | 72 |</w:t>
      </w:r>
    </w:p>
    <w:p>
      <w:r>
        <w:t>| Reserve cylinders | 18 (25%) |</w:t>
      </w:r>
    </w:p>
    <w:p>
      <w:r>
        <w:t>| Cylinder capacity | 45 kg CO2 each |</w:t>
      </w:r>
    </w:p>
    <w:p>
      <w:r>
        <w:t>| Cylinder pressure | 55–60 bar (21°C) |</w:t>
      </w:r>
    </w:p>
    <w:p>
      <w:r>
        <w:t>| Pilot cylinders | 2 per zone |</w:t>
      </w:r>
    </w:p>
    <w:p>
      <w:pPr>
        <w:pStyle w:val="Heading4"/>
      </w:pPr>
      <w:r>
        <w:t>Zones</w:t>
      </w:r>
    </w:p>
    <w:p>
      <w:r>
        <w:t>| Zone | Designation | Volume (m³) | CO2 Required (kg) |</w:t>
      </w:r>
    </w:p>
    <w:p>
      <w:r>
        <w:t>|------|-------------|-------------|-------------------|</w:t>
      </w:r>
    </w:p>
    <w:p>
      <w:r>
        <w:t>| Engine Room | ER | 2,400 | 1,680 |</w:t>
      </w:r>
    </w:p>
    <w:p>
      <w:r>
        <w:t>| Cargo Pump Room | CPR | 420 | 294 |</w:t>
      </w:r>
    </w:p>
    <w:p>
      <w:pPr>
        <w:pStyle w:val="Heading4"/>
      </w:pPr>
      <w:r>
        <w:t>Discharge Sequence (Automatic/Manual)</w:t>
      </w:r>
    </w:p>
    <w:p>
      <w:r>
        <w:t>1. Pre-alarm horn activated (audible alarm in protected space)</w:t>
      </w:r>
    </w:p>
    <w:p>
      <w:r>
        <w:t>2. Ventilation fans stopped, HVAC isolation</w:t>
      </w:r>
    </w:p>
    <w:p>
      <w:r>
        <w:t>3. Boundary dampers close (6 dampers for ER, 2 for CPR)</w:t>
      </w:r>
    </w:p>
    <w:p>
      <w:r>
        <w:t>4. 20-second time delay (evacuation time)</w:t>
      </w:r>
    </w:p>
    <w:p>
      <w:r>
        <w:t>5. CO2 pilot cylinders actuated</w:t>
      </w:r>
    </w:p>
    <w:p>
      <w:r>
        <w:t>6. Zone selector valve opens</w:t>
      </w:r>
    </w:p>
    <w:p>
      <w:r>
        <w:t>7. Main CO2 discharge begins</w:t>
      </w:r>
    </w:p>
    <w:p>
      <w:r>
        <w:t>8. CO2 concentration rises to &gt;34% v/v (design: 40%)</w:t>
      </w:r>
    </w:p>
    <w:p>
      <w:pPr>
        <w:pStyle w:val="Heading4"/>
      </w:pPr>
      <w:r>
        <w:t>Minimum Design Concentration</w:t>
      </w:r>
    </w:p>
    <w:p>
      <w:pPr>
        <w:pStyle w:val="ListBullet"/>
        <w:spacing w:after="40"/>
      </w:pPr>
      <w:r>
        <w:t>**34% v/v** minimum for engine rooms (FSS Code 5.1.2)</w:t>
      </w:r>
    </w:p>
    <w:p>
      <w:pPr>
        <w:pStyle w:val="ListBullet"/>
        <w:spacing w:after="40"/>
      </w:pPr>
      <w:r>
        <w:t>**40% v/v** design concentration (with safety factor)</w:t>
      </w:r>
    </w:p>
    <w:p>
      <w:pPr>
        <w:pStyle w:val="ListBullet"/>
        <w:spacing w:after="40"/>
      </w:pPr>
      <w:r>
        <w:t>Release time: 85% of required quantity within 2 minutes</w:t>
      </w:r>
    </w:p>
    <w:p>
      <w:pPr>
        <w:pStyle w:val="Heading3"/>
      </w:pPr>
      <w:r>
        <w:t>Control Modes</w:t>
      </w:r>
    </w:p>
    <w:p>
      <w:r>
        <w:t>| Mode | Description |</w:t>
      </w:r>
    </w:p>
    <w:p>
      <w:r>
        <w:t>|------|-------------|</w:t>
      </w:r>
    </w:p>
    <w:p>
      <w:r>
        <w:t>| AUTO | ESD/fire alarm trigger initiates full sequence |</w:t>
      </w:r>
    </w:p>
    <w:p>
      <w:r>
        <w:t>| MANUAL | Operator initiates via control box key |</w:t>
      </w:r>
    </w:p>
    <w:p>
      <w:r>
        <w:t>| LOCAL | Direct manual actuation at cylinder bank |</w:t>
      </w:r>
    </w:p>
    <w:p>
      <w:pPr>
        <w:pStyle w:val="Heading3"/>
      </w:pPr>
      <w:r>
        <w:t>Safety Interlocks</w:t>
      </w:r>
    </w:p>
    <w:p>
      <w:pPr>
        <w:pStyle w:val="ListBullet"/>
        <w:spacing w:after="40"/>
      </w:pPr>
      <w:r>
        <w:t>Personnel-in-space check confirmation required before release</w:t>
      </w:r>
    </w:p>
    <w:p>
      <w:pPr>
        <w:pStyle w:val="ListBullet"/>
        <w:spacing w:after="40"/>
      </w:pPr>
      <w:r>
        <w:t>All 6 boundary dampers must confirm CLOSED before release</w:t>
      </w:r>
    </w:p>
    <w:p>
      <w:pPr>
        <w:pStyle w:val="ListBullet"/>
        <w:spacing w:after="40"/>
      </w:pPr>
      <w:r>
        <w:t>Engine room ventilation stop confirmation</w:t>
      </w:r>
    </w:p>
    <w:p>
      <w:pPr>
        <w:pStyle w:val="ListBullet"/>
        <w:spacing w:after="40"/>
      </w:pPr>
      <w:r>
        <w:t>2-key or dual-action requirement for discharge initiation</w:t>
      </w:r>
    </w:p>
    <w:p>
      <w:pPr>
        <w:pStyle w:val="Heading3"/>
      </w:pPr>
      <w:r>
        <w:t>Boundary Dampers (Engine Room)</w:t>
      </w:r>
    </w:p>
    <w:p>
      <w:r>
        <w:t>| Damper | Location |</w:t>
      </w:r>
    </w:p>
    <w:p>
      <w:r>
        <w:t>|--------|----------|</w:t>
      </w:r>
    </w:p>
    <w:p>
      <w:r>
        <w:t>| D-01 | Uptake air inlet port side |</w:t>
      </w:r>
    </w:p>
    <w:p>
      <w:r>
        <w:t>| D-02 | Uptake air inlet starboard |</w:t>
      </w:r>
    </w:p>
    <w:p>
      <w:r>
        <w:t>| D-03 | Forced draught fans (FD-01) |</w:t>
      </w:r>
    </w:p>
    <w:p>
      <w:r>
        <w:t>| D-04 | Forced draught fans (FD-02) |</w:t>
      </w:r>
    </w:p>
    <w:p>
      <w:r>
        <w:t>| D-05 | Engine room skylight |</w:t>
      </w:r>
    </w:p>
    <w:p>
      <w:r>
        <w:t>| D-06 | Emergency escape trunk |</w:t>
      </w:r>
    </w:p>
    <w:p>
      <w:pPr>
        <w:pStyle w:val="Heading3"/>
      </w:pPr>
      <w:r>
        <w:t>Alarm Setpoints</w:t>
      </w:r>
    </w:p>
    <w:p>
      <w:r>
        <w:t>| Alarm | Tag | Level |</w:t>
      </w:r>
    </w:p>
    <w:p>
      <w:r>
        <w:t>|-------|-----|-------|</w:t>
      </w:r>
    </w:p>
    <w:p>
      <w:r>
        <w:t>| Cylinder pressure low | CO2-PA-001 | &lt;50 bar |</w:t>
      </w:r>
    </w:p>
    <w:p>
      <w:r>
        <w:t>| Zone valve fault | CO2-ZV-FAULT | Any valve fail-to-position |</w:t>
      </w:r>
    </w:p>
    <w:p>
      <w:r>
        <w:t>| Failed release | CO2-REL-FAIL | No flow within 5s of command |</w:t>
      </w:r>
    </w:p>
    <w:p>
      <w:r>
        <w:t>| Loss of pilot pressure | CO2-PP-LOW | &lt;45 bar |</w:t>
      </w:r>
    </w:p>
    <w:p>
      <w:pPr>
        <w:pStyle w:val="Heading3"/>
      </w:pPr>
      <w:r>
        <w:t>Post-Discharge Procedures</w:t>
      </w:r>
    </w:p>
    <w:p>
      <w:r>
        <w:t>1. Do NOT re-enter space until CO2 has cleared</w:t>
      </w:r>
    </w:p>
    <w:p>
      <w:r>
        <w:t>2. Mechanical ventilation for minimum 30 minutes before entry</w:t>
      </w:r>
    </w:p>
    <w:p>
      <w:r>
        <w:t>3. Check O2 level &gt;20.5% v/v before entry</w:t>
      </w:r>
    </w:p>
    <w:p>
      <w:r>
        <w:t>4. Inspect/replace discharged cylinders</w:t>
      </w:r>
    </w:p>
    <w:p>
      <w:r>
        <w:t>5. Notify flag state and classification society</w:t>
      </w:r>
    </w:p>
    <w:p>
      <w:r>
        <w:t>6. Record in official logbook</w:t>
      </w:r>
    </w:p>
    <w:p>
      <w:pPr>
        <w:pStyle w:val="Heading3"/>
      </w:pPr>
      <w:r>
        <w:t>Maintenance Schedule</w:t>
      </w:r>
    </w:p>
    <w:p>
      <w:r>
        <w:t>| Task | Interval |</w:t>
      </w:r>
    </w:p>
    <w:p>
      <w:r>
        <w:t>|------|----------|</w:t>
      </w:r>
    </w:p>
    <w:p>
      <w:r>
        <w:t>| Cylinder weight check | 12 months |</w:t>
      </w:r>
    </w:p>
    <w:p>
      <w:r>
        <w:t>| Pressure gauge check | 12 months |</w:t>
      </w:r>
    </w:p>
    <w:p>
      <w:r>
        <w:t>| Pilot line pressure test | 12 months |</w:t>
      </w:r>
    </w:p>
    <w:p>
      <w:r>
        <w:t>| Damper function test | 6 months |</w:t>
      </w:r>
    </w:p>
    <w:p>
      <w:r>
        <w:t>| System annual survey | 12 months (class) |</w:t>
      </w:r>
    </w:p>
    <w:p>
      <w:r>
        <w:t>| Full system test | Per class schedule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