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Cyber Security Awareness Trainer</w:t>
      </w:r>
    </w:p>
    <w:p>
      <w:pPr>
        <w:jc w:val="center"/>
      </w:pPr>
      <w:r>
        <w:rPr>
          <w:color w:val="646464"/>
          <w:sz w:val="24"/>
        </w:rPr>
        <w:t>Bridge &amp; Navigation</w:t>
      </w:r>
    </w:p>
    <w:p>
      <w:pPr>
        <w:jc w:val="center"/>
      </w:pPr>
      <w:r>
        <w:rPr>
          <w:color w:val="505050"/>
          <w:sz w:val="20"/>
        </w:rPr>
        <w:t>Maritime cyber security awareness training covering GPS spoofing, phishing, USB malware, ransomware, and AIS spoofing with response procedures.</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Maritime cyber security awareness training covering GPS spoofing, phishing, USB malware, ransomware, and AIS spoofing with response procedures.</w:t>
      </w:r>
    </w:p>
    <w:p>
      <w:pPr>
        <w:pStyle w:val="Heading2"/>
      </w:pPr>
      <w:r>
        <w:t>Key Features</w:t>
      </w:r>
    </w:p>
    <w:p>
      <w:pPr>
        <w:pStyle w:val="ListBullet"/>
      </w:pPr>
      <w:r>
        <w:t>Interactive ship system map with IT/OT architecture visualization.</w:t>
      </w:r>
    </w:p>
    <w:p>
      <w:pPr>
        <w:pStyle w:val="ListBullet"/>
      </w:pPr>
      <w:r>
        <w:t>Six threat scenarios with animated attack vectors and response checklists.</w:t>
      </w:r>
    </w:p>
    <w:p>
      <w:pPr>
        <w:pStyle w:val="ListBullet"/>
      </w:pPr>
      <w:r>
        <w:t>Cyber risk matrix and vulnerability assessment dashboard.</w:t>
      </w:r>
    </w:p>
    <w:p>
      <w:pPr>
        <w:pStyle w:val="ListBullet"/>
      </w:pPr>
      <w:r>
        <w:t>Incident reporting procedure guidance per IMO MSC-FAL.1/Circ.3.</w:t>
      </w:r>
    </w:p>
    <w:p>
      <w:pPr>
        <w:pStyle w:val="ListBullet"/>
      </w:pPr>
      <w:r>
        <w:t>System status panel showing real-time vulnerability indicators.</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THREAT SCENARIOS</w:t>
            </w:r>
          </w:p>
        </w:tc>
        <w:tc>
          <w:tcPr>
            <w:tcW w:type="dxa" w:w="4320"/>
          </w:tcPr>
          <w:p>
            <w:r>
              <w:t>Displays real-time system data, controls, and status indicators.</w:t>
            </w:r>
          </w:p>
        </w:tc>
      </w:tr>
      <w:tr>
        <w:tc>
          <w:tcPr>
            <w:tcW w:type="dxa" w:w="4320"/>
          </w:tcPr>
          <w:p>
            <w:r>
              <w:t>SHIP IT/OT SYSTEM MAP</w:t>
            </w:r>
          </w:p>
        </w:tc>
        <w:tc>
          <w:tcPr>
            <w:tcW w:type="dxa" w:w="4320"/>
          </w:tcPr>
          <w:p>
            <w:r>
              <w:t>Displays real-time system data, controls, and status indicators.</w:t>
            </w:r>
          </w:p>
        </w:tc>
      </w:tr>
      <w:tr>
        <w:tc>
          <w:tcPr>
            <w:tcW w:type="dxa" w:w="4320"/>
          </w:tcPr>
          <w:p>
            <w:r>
              <w:t>THREAT DETAIL &amp; RESPONSE</w:t>
            </w:r>
          </w:p>
        </w:tc>
        <w:tc>
          <w:tcPr>
            <w:tcW w:type="dxa" w:w="4320"/>
          </w:tcPr>
          <w:p>
            <w:r>
              <w:t>Displays real-time system data, controls, and status indicators.</w:t>
            </w:r>
          </w:p>
        </w:tc>
      </w:tr>
      <w:tr>
        <w:tc>
          <w:tcPr>
            <w:tcW w:type="dxa" w:w="4320"/>
          </w:tcPr>
          <w:p>
            <w:r>
              <w:t>INCIDENT LOG</w:t>
            </w:r>
          </w:p>
        </w:tc>
        <w:tc>
          <w:tcPr>
            <w:tcW w:type="dxa" w:w="4320"/>
          </w:tcPr>
          <w:p>
            <w:r>
              <w:t>Displays real-time system data, controls, and status indicators.</w:t>
            </w:r>
          </w:p>
        </w:tc>
      </w:tr>
      <w:tr>
        <w:tc>
          <w:tcPr>
            <w:tcW w:type="dxa" w:w="4320"/>
          </w:tcPr>
          <w:p>
            <w:r>
              <w:t>VULNERABILITY CHECKLIST';</w:t>
              <w:br/>
              <w:t xml:space="preserve">  rightPanel.insertBefore(hdr,right</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Maritime Cyber Security Awareness Trainer — Technical Reference</w:t>
      </w:r>
    </w:p>
    <w:p>
      <w:pPr>
        <w:pStyle w:val="Heading3"/>
      </w:pPr>
      <w:r>
        <w:t>Overview</w:t>
      </w:r>
    </w:p>
    <w:p>
      <w:r>
        <w:t>Maritime cyber security encompasses the protection of shipboard IT (Information Technology) and OT (Operational Technology) systems from unauthorized access, data corruption, and service disruption. This trainer covers threat recognition, incident response, and regulatory compliance.</w:t>
      </w:r>
    </w:p>
    <w:p>
      <w:pPr>
        <w:pStyle w:val="Heading3"/>
      </w:pPr>
      <w:r>
        <w:t>Regulatory Framework</w:t>
      </w:r>
    </w:p>
    <w:p>
      <w:pPr>
        <w:pStyle w:val="ListBullet"/>
        <w:spacing w:after="40"/>
      </w:pPr>
      <w:r>
        <w:t>**IMO MSC-FAL.1/Circ.3** — Guidelines on maritime cyber risk management</w:t>
      </w:r>
    </w:p>
    <w:p>
      <w:pPr>
        <w:pStyle w:val="ListBullet"/>
        <w:spacing w:after="40"/>
      </w:pPr>
      <w:r>
        <w:t>**IMO MSC-FAL.1/Circ.3 Rev.2 (2022)** — Revised guidelines</w:t>
      </w:r>
    </w:p>
    <w:p>
      <w:pPr>
        <w:pStyle w:val="ListBullet"/>
        <w:spacing w:after="40"/>
      </w:pPr>
      <w:r>
        <w:t>**BIMCO Cyber Security Guidelines** — Industry best practice (v4, 2021)</w:t>
      </w:r>
    </w:p>
    <w:p>
      <w:pPr>
        <w:pStyle w:val="ListBullet"/>
        <w:spacing w:after="40"/>
      </w:pPr>
      <w:r>
        <w:t>**IEC 62443** — Industrial automation and control systems security</w:t>
      </w:r>
    </w:p>
    <w:p>
      <w:pPr>
        <w:pStyle w:val="ListBullet"/>
        <w:spacing w:after="40"/>
      </w:pPr>
      <w:r>
        <w:t>**STCW Cyber Awareness** — As incorporated per Manila Amendments review</w:t>
      </w:r>
    </w:p>
    <w:p>
      <w:pPr>
        <w:pStyle w:val="ListBullet"/>
        <w:spacing w:after="40"/>
      </w:pPr>
      <w:r>
        <w:t>**NIST Cybersecurity Framework** — Identify, Protect, Detect, Respond, Recover</w:t>
      </w:r>
    </w:p>
    <w:p>
      <w:pPr>
        <w:pStyle w:val="ListBullet"/>
        <w:spacing w:after="40"/>
      </w:pPr>
      <w:r>
        <w:t>**IMO Resolution MSC.428(98)** — Maritime cyber risk management in SMS</w:t>
      </w:r>
    </w:p>
    <w:p>
      <w:pPr>
        <w:pStyle w:val="Heading3"/>
      </w:pPr>
      <w:r>
        <w:t>Ship IT/OT System Architecture</w:t>
      </w:r>
    </w:p>
    <w:p>
      <w:pPr>
        <w:pStyle w:val="Heading4"/>
      </w:pPr>
      <w:r>
        <w:t>Bridge Systems (OT)</w:t>
      </w:r>
    </w:p>
    <w:p>
      <w:pPr>
        <w:pStyle w:val="ListBullet"/>
        <w:spacing w:after="40"/>
      </w:pPr>
      <w:r>
        <w:t>ECDIS (Electronic Chart Display and Information System)</w:t>
      </w:r>
    </w:p>
    <w:p>
      <w:pPr>
        <w:pStyle w:val="ListBullet"/>
        <w:spacing w:after="40"/>
      </w:pPr>
      <w:r>
        <w:t>AIS (Automatic Identification System)</w:t>
      </w:r>
    </w:p>
    <w:p>
      <w:pPr>
        <w:pStyle w:val="ListBullet"/>
        <w:spacing w:after="40"/>
      </w:pPr>
      <w:r>
        <w:t>GNSS (Global Navigation Satellite System)</w:t>
      </w:r>
    </w:p>
    <w:p>
      <w:pPr>
        <w:pStyle w:val="ListBullet"/>
        <w:spacing w:after="40"/>
      </w:pPr>
      <w:r>
        <w:t>ARPA/Radar</w:t>
      </w:r>
    </w:p>
    <w:p>
      <w:pPr>
        <w:pStyle w:val="ListBullet"/>
        <w:spacing w:after="40"/>
      </w:pPr>
      <w:r>
        <w:t>VDR (Voyage Data Recorder)</w:t>
      </w:r>
    </w:p>
    <w:p>
      <w:pPr>
        <w:pStyle w:val="ListBullet"/>
        <w:spacing w:after="40"/>
      </w:pPr>
      <w:r>
        <w:t>Autopilot / Track Control System</w:t>
      </w:r>
    </w:p>
    <w:p>
      <w:pPr>
        <w:pStyle w:val="Heading4"/>
      </w:pPr>
      <w:r>
        <w:t>Engine Room (OT/ICS)</w:t>
      </w:r>
    </w:p>
    <w:p>
      <w:pPr>
        <w:pStyle w:val="ListBullet"/>
        <w:spacing w:after="40"/>
      </w:pPr>
      <w:r>
        <w:t>SCADA (Supervisory Control and Data Acquisition)</w:t>
      </w:r>
    </w:p>
    <w:p>
      <w:pPr>
        <w:pStyle w:val="ListBullet"/>
        <w:spacing w:after="40"/>
      </w:pPr>
      <w:r>
        <w:t>PMS (Power Management System)</w:t>
      </w:r>
    </w:p>
    <w:p>
      <w:pPr>
        <w:pStyle w:val="ListBullet"/>
        <w:spacing w:after="40"/>
      </w:pPr>
      <w:r>
        <w:t>IAS (Integrated Automation System)</w:t>
      </w:r>
    </w:p>
    <w:p>
      <w:pPr>
        <w:pStyle w:val="ListBullet"/>
        <w:spacing w:after="40"/>
      </w:pPr>
      <w:r>
        <w:t>Remote monitoring and control systems</w:t>
      </w:r>
    </w:p>
    <w:p>
      <w:pPr>
        <w:pStyle w:val="Heading4"/>
      </w:pPr>
      <w:r>
        <w:t>Cargo/Deck (OT)</w:t>
      </w:r>
    </w:p>
    <w:p>
      <w:pPr>
        <w:pStyle w:val="ListBullet"/>
        <w:spacing w:after="40"/>
      </w:pPr>
      <w:r>
        <w:t>Loading computer</w:t>
      </w:r>
    </w:p>
    <w:p>
      <w:pPr>
        <w:pStyle w:val="ListBullet"/>
        <w:spacing w:after="40"/>
      </w:pPr>
      <w:r>
        <w:t>Ballast water management system</w:t>
      </w:r>
    </w:p>
    <w:p>
      <w:pPr>
        <w:pStyle w:val="ListBullet"/>
        <w:spacing w:after="40"/>
      </w:pPr>
      <w:r>
        <w:t>Cargo loading/discharging controls</w:t>
      </w:r>
    </w:p>
    <w:p>
      <w:pPr>
        <w:pStyle w:val="Heading4"/>
      </w:pPr>
      <w:r>
        <w:t>Communications (IT)</w:t>
      </w:r>
    </w:p>
    <w:p>
      <w:pPr>
        <w:pStyle w:val="ListBullet"/>
        <w:spacing w:after="40"/>
      </w:pPr>
      <w:r>
        <w:t>Inmarsat Fleet Xpress / VSAT</w:t>
      </w:r>
    </w:p>
    <w:p>
      <w:pPr>
        <w:pStyle w:val="ListBullet"/>
        <w:spacing w:after="40"/>
      </w:pPr>
      <w:r>
        <w:t>Email / Internet</w:t>
      </w:r>
    </w:p>
    <w:p>
      <w:pPr>
        <w:pStyle w:val="ListBullet"/>
        <w:spacing w:after="40"/>
      </w:pPr>
      <w:r>
        <w:t>Shore-Ship data transfer</w:t>
      </w:r>
    </w:p>
    <w:p>
      <w:pPr>
        <w:pStyle w:val="ListBullet"/>
        <w:spacing w:after="40"/>
      </w:pPr>
      <w:r>
        <w:t>Remote access portals</w:t>
      </w:r>
    </w:p>
    <w:p>
      <w:pPr>
        <w:pStyle w:val="Heading3"/>
      </w:pPr>
      <w:r>
        <w:t>Threat Taxonomy</w:t>
      </w:r>
    </w:p>
    <w:p>
      <w:r>
        <w:t>| Threat | Vector | Impact Level |</w:t>
      </w:r>
    </w:p>
    <w:p>
      <w:r>
        <w:t>|--------|--------|-------------|</w:t>
      </w:r>
    </w:p>
    <w:p>
      <w:r>
        <w:t>| USB/Removable Media Malware | Physical | High |</w:t>
      </w:r>
    </w:p>
    <w:p>
      <w:r>
        <w:t>| Phishing Email | Network/Human | Medium-High |</w:t>
      </w:r>
    </w:p>
    <w:p>
      <w:r>
        <w:t>| GPS Spoofing | RF Signal | Critical |</w:t>
      </w:r>
    </w:p>
    <w:p>
      <w:r>
        <w:t>| AIS Spoofing | RF Signal | High |</w:t>
      </w:r>
    </w:p>
    <w:p>
      <w:r>
        <w:t>| Ransomware | Network | Critical |</w:t>
      </w:r>
    </w:p>
    <w:p>
      <w:r>
        <w:t>| Rogue Software Update | Trusted supply chain | Critical |</w:t>
      </w:r>
    </w:p>
    <w:p>
      <w:r>
        <w:t>| Remote Access Exploitation | Network | High |</w:t>
      </w:r>
    </w:p>
    <w:p>
      <w:r>
        <w:t>| Social Engineering | Human | Medium |</w:t>
      </w:r>
    </w:p>
    <w:p>
      <w:pPr>
        <w:pStyle w:val="Heading3"/>
      </w:pPr>
      <w:r>
        <w:t>Incident Response Procedure</w:t>
      </w:r>
    </w:p>
    <w:p>
      <w:r>
        <w:t>1. Identify — Detect the anomaly; determine affected systems</w:t>
      </w:r>
    </w:p>
    <w:p>
      <w:r>
        <w:t>2. Contain — Isolate affected systems from network; preserve evidence</w:t>
      </w:r>
    </w:p>
    <w:p>
      <w:r>
        <w:t>3. Eradicate — Remove malware; restore clean backups</w:t>
      </w:r>
    </w:p>
    <w:p>
      <w:r>
        <w:t>4. Recover — Restore normal operations; validate system integrity</w:t>
      </w:r>
    </w:p>
    <w:p>
      <w:r>
        <w:t>5. Report — Notify company DPA, flag state, port state if required</w:t>
      </w:r>
    </w:p>
    <w:p>
      <w:r>
        <w:t>6. Lessons Learned — Update risk assessment and procedures</w:t>
      </w:r>
    </w:p>
    <w:p>
      <w:pPr>
        <w:pStyle w:val="Heading3"/>
      </w:pPr>
      <w:r>
        <w:t>GPS Spoofing Indicators</w:t>
      </w:r>
    </w:p>
    <w:p>
      <w:pPr>
        <w:pStyle w:val="ListBullet"/>
        <w:spacing w:after="40"/>
      </w:pPr>
      <w:r>
        <w:t>Sudden unexplained position jump</w:t>
      </w:r>
    </w:p>
    <w:p>
      <w:pPr>
        <w:pStyle w:val="ListBullet"/>
        <w:spacing w:after="40"/>
      </w:pPr>
      <w:r>
        <w:t>Heading/COG discrepancy with gyrocompass</w:t>
      </w:r>
    </w:p>
    <w:p>
      <w:pPr>
        <w:pStyle w:val="ListBullet"/>
        <w:spacing w:after="40"/>
      </w:pPr>
      <w:r>
        <w:t>Multiple GPS receivers showing different positions</w:t>
      </w:r>
    </w:p>
    <w:p>
      <w:pPr>
        <w:pStyle w:val="ListBullet"/>
        <w:spacing w:after="40"/>
      </w:pPr>
      <w:r>
        <w:t>GNSS signal quality degradation (SNR drop)</w:t>
      </w:r>
    </w:p>
    <w:p>
      <w:pPr>
        <w:pStyle w:val="ListBullet"/>
        <w:spacing w:after="40"/>
      </w:pPr>
      <w:r>
        <w:t>Celestial fixes disagree with GPS</w:t>
      </w:r>
    </w:p>
    <w:p>
      <w:pPr>
        <w:pStyle w:val="Heading3"/>
      </w:pPr>
      <w:r>
        <w:t>Verification Methods</w:t>
      </w:r>
    </w:p>
    <w:p>
      <w:pPr>
        <w:pStyle w:val="ListBullet"/>
        <w:spacing w:after="40"/>
      </w:pPr>
      <w:r>
        <w:t>Cross-check GNSS with radar/ECDIS coastal fix</w:t>
      </w:r>
    </w:p>
    <w:p>
      <w:pPr>
        <w:pStyle w:val="ListBullet"/>
        <w:spacing w:after="40"/>
      </w:pPr>
      <w:r>
        <w:t>Compare with second GNSS receiver</w:t>
      </w:r>
    </w:p>
    <w:p>
      <w:pPr>
        <w:pStyle w:val="ListBullet"/>
        <w:spacing w:after="40"/>
      </w:pPr>
      <w:r>
        <w:t>Celestial navigation (sun/star sight)</w:t>
      </w:r>
    </w:p>
    <w:p>
      <w:pPr>
        <w:pStyle w:val="ListBullet"/>
        <w:spacing w:after="40"/>
      </w:pPr>
      <w:r>
        <w:t>Dead reckoning from last known position</w:t>
      </w:r>
    </w:p>
    <w:p>
      <w:pPr>
        <w:pStyle w:val="ListBullet"/>
        <w:spacing w:after="40"/>
      </w:pPr>
      <w:r>
        <w:t>Compare AIS own-ship position with shore-based AIS</w:t>
      </w:r>
    </w:p>
    <w:p>
      <w:pPr>
        <w:pStyle w:val="Heading3"/>
      </w:pPr>
      <w:r>
        <w:t>USB/Removable Media Policy</w:t>
      </w:r>
    </w:p>
    <w:p>
      <w:pPr>
        <w:pStyle w:val="ListBullet"/>
        <w:spacing w:after="40"/>
      </w:pPr>
      <w:r>
        <w:t>No personal USB drives on bridge or engine room computers</w:t>
      </w:r>
    </w:p>
    <w:p>
      <w:pPr>
        <w:pStyle w:val="ListBullet"/>
        <w:spacing w:after="40"/>
      </w:pPr>
      <w:r>
        <w:t>All removable media scanned on designated air-gapped scan station</w:t>
      </w:r>
    </w:p>
    <w:p>
      <w:pPr>
        <w:pStyle w:val="ListBullet"/>
        <w:spacing w:after="40"/>
      </w:pPr>
      <w:r>
        <w:t>Authorised media only (white-listed)</w:t>
      </w:r>
    </w:p>
    <w:p>
      <w:pPr>
        <w:pStyle w:val="ListBullet"/>
        <w:spacing w:after="40"/>
      </w:pPr>
      <w:r>
        <w:t>Software updates via company-approved process only</w:t>
      </w:r>
    </w:p>
    <w:p>
      <w:pPr>
        <w:pStyle w:val="Heading3"/>
      </w:pPr>
      <w:r>
        <w:t>Cyber Risk Matrix</w:t>
      </w:r>
    </w:p>
    <w:p>
      <w:r>
        <w:t>| | Negligible | Minor | Moderate | Major | Critical |</w:t>
      </w:r>
    </w:p>
    <w:p>
      <w:r>
        <w:t>|--|--|--|--|--|--|</w:t>
      </w:r>
    </w:p>
    <w:p>
      <w:r>
        <w:t>| Almost Certain | Medium | High | High | Extreme | Extreme |</w:t>
      </w:r>
    </w:p>
    <w:p>
      <w:r>
        <w:t>| Likely | Low | Medium | High | High | Extreme |</w:t>
      </w:r>
    </w:p>
    <w:p>
      <w:r>
        <w:t>| Possible | Low | Low | Medium | High | High |</w:t>
      </w:r>
    </w:p>
    <w:p>
      <w:r>
        <w:t>| Unlikely | Negligible | Low | Medium | Medium | High |</w:t>
      </w:r>
    </w:p>
    <w:p>
      <w:r>
        <w:t>| Rare | Negligible | Negligible | Low | Low | Medium |</w:t>
      </w:r>
    </w:p>
    <w:p>
      <w:pPr>
        <w:pStyle w:val="Heading3"/>
      </w:pPr>
      <w:r>
        <w:t>Reporting Requirements</w:t>
      </w:r>
    </w:p>
    <w:p>
      <w:pPr>
        <w:pStyle w:val="ListBullet"/>
        <w:spacing w:after="40"/>
      </w:pPr>
      <w:r>
        <w:t>Company SMS DPA (Designated Person Ashore): Immediate notification</w:t>
      </w:r>
    </w:p>
    <w:p>
      <w:pPr>
        <w:pStyle w:val="ListBullet"/>
        <w:spacing w:after="40"/>
      </w:pPr>
      <w:r>
        <w:t>Flag State Administration: If safety-critical systems affected</w:t>
      </w:r>
    </w:p>
    <w:p>
      <w:pPr>
        <w:pStyle w:val="ListBullet"/>
        <w:spacing w:after="40"/>
      </w:pPr>
      <w:r>
        <w:t>Port State Control: Port entry report if incident during voyage</w:t>
      </w:r>
    </w:p>
    <w:p>
      <w:pPr>
        <w:pStyle w:val="ListBullet"/>
        <w:spacing w:after="40"/>
      </w:pPr>
      <w:r>
        <w:t>Classification Society: If ICS/automation systems compromised</w:t>
      </w:r>
    </w:p>
    <w:p>
      <w:pPr>
        <w:pStyle w:val="ListBullet"/>
        <w:spacing w:after="40"/>
      </w:pPr>
      <w:r>
        <w:t>BIMCO MARITIME CYBER INCIDENT REPORT form</w:t>
      </w:r>
    </w:p>
    <w:p>
      <w:pPr>
        <w:pStyle w:val="Heading3"/>
      </w:pPr>
      <w:r>
        <w:t>References</w:t>
      </w:r>
    </w:p>
    <w:p>
      <w:pPr>
        <w:pStyle w:val="ListBullet"/>
        <w:spacing w:after="40"/>
      </w:pPr>
      <w:r>
        <w:t>IMO MSC-FAL.1/Circ.3: Guidelines on Maritime Cyber Risk Management</w:t>
      </w:r>
    </w:p>
    <w:p>
      <w:pPr>
        <w:pStyle w:val="ListBullet"/>
        <w:spacing w:after="40"/>
      </w:pPr>
      <w:r>
        <w:t>BIMCO Guidelines on Cyber Security Onboard Ships v4.0</w:t>
      </w:r>
    </w:p>
    <w:p>
      <w:pPr>
        <w:pStyle w:val="ListBullet"/>
        <w:spacing w:after="40"/>
      </w:pPr>
      <w:r>
        <w:t>IEC 62443-2-1: Security Management System for IACS</w:t>
      </w:r>
    </w:p>
    <w:p>
      <w:pPr>
        <w:pStyle w:val="ListBullet"/>
        <w:spacing w:after="40"/>
      </w:pPr>
      <w:r>
        <w:t>ENISA: Guidelines for Cyber Security on Ships (2019)</w:t>
      </w:r>
    </w:p>
    <w:p>
      <w:pPr>
        <w:pStyle w:val="ListBullet"/>
        <w:spacing w:after="40"/>
      </w:pPr>
      <w:r>
        <w:t>NIST SP 800-82: Guide to Industrial Control System Security</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