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
      <w:pPr>
        <w:jc w:val="center"/>
      </w:pPr>
      <w:r>
        <w:rPr>
          <w:b/>
          <w:color w:val="00788C"/>
          <w:sz w:val="28"/>
        </w:rPr>
        <w:t>BlueSim Training Guide</w:t>
      </w:r>
    </w:p>
    <w:p>
      <w:pPr>
        <w:jc w:val="center"/>
      </w:pPr>
      <w:r>
        <w:rPr>
          <w:b/>
          <w:sz w:val="48"/>
        </w:rPr>
        <w:t>ECDIS Operation &amp; Alarm Handling</w:t>
      </w:r>
    </w:p>
    <w:p>
      <w:pPr>
        <w:jc w:val="center"/>
      </w:pPr>
      <w:r>
        <w:rPr>
          <w:color w:val="646464"/>
          <w:sz w:val="24"/>
        </w:rPr>
        <w:t>Bridge &amp; Navigation</w:t>
      </w:r>
    </w:p>
    <w:p>
      <w:pPr>
        <w:jc w:val="center"/>
      </w:pPr>
      <w:r>
        <w:rPr>
          <w:color w:val="505050"/>
          <w:sz w:val="20"/>
        </w:rPr>
        <w:t>Electronic Chart Display and Information System trainer covering route planning, alarm handling, AIS integration, and SOLAS V compliance.</w:t>
      </w:r>
    </w:p>
    <w:p>
      <w:r>
        <w:br w:type="page"/>
      </w:r>
    </w:p>
    <w:p>
      <w:pPr>
        <w:pStyle w:val="Heading1"/>
      </w:pPr>
      <w:r>
        <w:t>1. Display Requirements</w:t>
      </w:r>
    </w:p>
    <w:tbl>
      <w:tblPr>
        <w:tblStyle w:val="LightGrid-Accent1"/>
        <w:tblW w:type="auto" w:w="0"/>
        <w:jc w:val="left"/>
        <w:tblLook w:firstColumn="1" w:firstRow="1" w:lastColumn="0" w:lastRow="0" w:noHBand="0" w:noVBand="1" w:val="04A0"/>
      </w:tblPr>
      <w:tblGrid>
        <w:gridCol w:w="4320"/>
        <w:gridCol w:w="4320"/>
      </w:tblGrid>
      <w:tr>
        <w:tc>
          <w:tcPr>
            <w:tcW w:type="dxa" w:w="4320"/>
          </w:tcPr>
          <w:p>
            <w:r>
              <w:t>Optimal Resolution</w:t>
            </w:r>
          </w:p>
        </w:tc>
        <w:tc>
          <w:tcPr>
            <w:tcW w:type="dxa" w:w="4320"/>
          </w:tcPr>
          <w:p>
            <w:r>
              <w:t>1920 x 1080 (Full HD)</w:t>
            </w:r>
          </w:p>
        </w:tc>
      </w:tr>
      <w:tr>
        <w:tc>
          <w:tcPr>
            <w:tcW w:type="dxa" w:w="4320"/>
          </w:tcPr>
          <w:p>
            <w:r>
              <w:t>Minimum Resolution</w:t>
            </w:r>
          </w:p>
        </w:tc>
        <w:tc>
          <w:tcPr>
            <w:tcW w:type="dxa" w:w="4320"/>
          </w:tcPr>
          <w:p>
            <w:r>
              <w:t>1366 x 768</w:t>
            </w:r>
          </w:p>
        </w:tc>
      </w:tr>
      <w:tr>
        <w:tc>
          <w:tcPr>
            <w:tcW w:type="dxa" w:w="4320"/>
          </w:tcPr>
          <w:p>
            <w:r>
              <w:t>Aspect Ratio</w:t>
            </w:r>
          </w:p>
        </w:tc>
        <w:tc>
          <w:tcPr>
            <w:tcW w:type="dxa" w:w="4320"/>
          </w:tcPr>
          <w:p>
            <w:r>
              <w:t>16:9 (recommended) or 16:10</w:t>
            </w:r>
          </w:p>
        </w:tc>
      </w:tr>
      <w:tr>
        <w:tc>
          <w:tcPr>
            <w:tcW w:type="dxa" w:w="4320"/>
          </w:tcPr>
          <w:p>
            <w:r>
              <w:t>Browser</w:t>
            </w:r>
          </w:p>
        </w:tc>
        <w:tc>
          <w:tcPr>
            <w:tcW w:type="dxa" w:w="4320"/>
          </w:tcPr>
          <w:p>
            <w:r>
              <w:t>Chrome 90+, Firefox 90+, Edge 90+ (fullscreen recommended)</w:t>
            </w:r>
          </w:p>
        </w:tc>
      </w:tr>
      <w:tr>
        <w:tc>
          <w:tcPr>
            <w:tcW w:type="dxa" w:w="4320"/>
          </w:tcPr>
          <w:p>
            <w:r>
              <w:t>Input</w:t>
            </w:r>
          </w:p>
        </w:tc>
        <w:tc>
          <w:tcPr>
            <w:tcW w:type="dxa" w:w="4320"/>
          </w:tcPr>
          <w:p>
            <w:r>
              <w:t>Mouse + keyboard (touchscreen not supported)</w:t>
            </w:r>
          </w:p>
        </w:tc>
      </w:tr>
    </w:tbl>
    <w:p/>
    <w:p>
      <w:r>
        <w:rPr>
          <w:b/>
        </w:rPr>
        <w:t xml:space="preserve">Note: </w:t>
      </w:r>
      <w:r>
        <w:t>The simulator is designed for desktop use. On screens below 980 x 600 px, a "Screen Too Small" notice will appear. For the best experience, press F11 for fullscreen mode after launching the simulator.</w:t>
      </w:r>
    </w:p>
    <w:p>
      <w:pPr>
        <w:pStyle w:val="Heading1"/>
      </w:pPr>
      <w:r>
        <w:t>2. Simulator Overview</w:t>
      </w:r>
    </w:p>
    <w:p>
      <w:r>
        <w:t>Electronic Chart Display and Information System trainer covering route planning, alarm handling, AIS integration, and SOLAS V compliance.</w:t>
      </w:r>
    </w:p>
    <w:p>
      <w:pPr>
        <w:pStyle w:val="Heading2"/>
      </w:pPr>
      <w:r>
        <w:t>Key Features</w:t>
      </w:r>
    </w:p>
    <w:p>
      <w:pPr>
        <w:pStyle w:val="ListBullet"/>
      </w:pPr>
      <w:r>
        <w:t>Interactive SVG/canvas chart with depth contours and shipping lanes.</w:t>
      </w:r>
    </w:p>
    <w:p>
      <w:pPr>
        <w:pStyle w:val="ListBullet"/>
      </w:pPr>
      <w:r>
        <w:t>Route planning with waypoints and cross-track limit monitoring.</w:t>
      </w:r>
    </w:p>
    <w:p>
      <w:pPr>
        <w:pStyle w:val="ListBullet"/>
      </w:pPr>
      <w:r>
        <w:t>Anti-grounding, shallow water, and off-route alarms with ACK workflow.</w:t>
      </w:r>
    </w:p>
    <w:p>
      <w:pPr>
        <w:pStyle w:val="ListBullet"/>
      </w:pPr>
      <w:r>
        <w:t>Live AIS targets with CPA/TCPA computation.</w:t>
      </w:r>
    </w:p>
    <w:p>
      <w:pPr>
        <w:pStyle w:val="ListBullet"/>
      </w:pPr>
      <w:r>
        <w:t>Harbour, coastal, and ocean chart scale modes.</w:t>
      </w:r>
    </w:p>
    <w:p>
      <w:pPr>
        <w:pStyle w:val="Heading1"/>
      </w:pPr>
      <w:r>
        <w:t>3. Interface Layout</w:t>
      </w:r>
    </w:p>
    <w:p>
      <w:r>
        <w:t>The simulator uses a multi-panel layout with the following regions:</w:t>
      </w:r>
    </w:p>
    <w:tbl>
      <w:tblPr>
        <w:tblStyle w:val="LightGrid-Accent1"/>
        <w:tblW w:type="auto" w:w="0"/>
        <w:tblLook w:firstColumn="1" w:firstRow="1" w:lastColumn="0" w:lastRow="0" w:noHBand="0" w:noVBand="1" w:val="04A0"/>
      </w:tblPr>
      <w:tblGrid>
        <w:gridCol w:w="4320"/>
        <w:gridCol w:w="4320"/>
      </w:tblGrid>
      <w:tr>
        <w:tc>
          <w:tcPr>
            <w:tcW w:type="dxa" w:w="4320"/>
          </w:tcPr>
          <w:p>
            <w:r>
              <w:rPr>
                <w:b/>
              </w:rPr>
              <w:t>Panel</w:t>
            </w:r>
          </w:p>
        </w:tc>
        <w:tc>
          <w:tcPr>
            <w:tcW w:type="dxa" w:w="4320"/>
          </w:tcPr>
          <w:p>
            <w:r>
              <w:rPr>
                <w:b/>
              </w:rPr>
              <w:t>Purpose</w:t>
            </w:r>
          </w:p>
        </w:tc>
      </w:tr>
      <w:tr>
        <w:tc>
          <w:tcPr>
            <w:tcW w:type="dxa" w:w="4320"/>
          </w:tcPr>
          <w:p>
            <w:r>
              <w:t>EXIT</w:t>
            </w:r>
          </w:p>
        </w:tc>
        <w:tc>
          <w:tcPr>
            <w:tcW w:type="dxa" w:w="4320"/>
          </w:tcPr>
          <w:p>
            <w:r>
              <w:t>Displays real-time system data, controls, and status indicators.</w:t>
            </w:r>
          </w:p>
        </w:tc>
      </w:tr>
      <w:tr>
        <w:tc>
          <w:tcPr>
            <w:tcW w:type="dxa" w:w="4320"/>
          </w:tcPr>
          <w:p>
            <w:r>
              <w:t>NAV DATA</w:t>
            </w:r>
          </w:p>
        </w:tc>
        <w:tc>
          <w:tcPr>
            <w:tcW w:type="dxa" w:w="4320"/>
          </w:tcPr>
          <w:p>
            <w:r>
              <w:t>Displays real-time system data, controls, and status indicators.</w:t>
            </w:r>
          </w:p>
        </w:tc>
      </w:tr>
      <w:tr>
        <w:tc>
          <w:tcPr>
            <w:tcW w:type="dxa" w:w="4320"/>
          </w:tcPr>
          <w:p>
            <w:r>
              <w:t>CHART DISPLAY —</w:t>
            </w:r>
          </w:p>
        </w:tc>
        <w:tc>
          <w:tcPr>
            <w:tcW w:type="dxa" w:w="4320"/>
          </w:tcPr>
          <w:p>
            <w:r>
              <w:t>Displays real-time system data, controls, and status indicators.</w:t>
            </w:r>
          </w:p>
        </w:tc>
      </w:tr>
      <w:tr>
        <w:tc>
          <w:tcPr>
            <w:tcW w:type="dxa" w:w="4320"/>
          </w:tcPr>
          <w:p>
            <w:r>
              <w:t>ALARMS</w:t>
            </w:r>
          </w:p>
        </w:tc>
        <w:tc>
          <w:tcPr>
            <w:tcW w:type="dxa" w:w="4320"/>
          </w:tcPr>
          <w:p>
            <w:r>
              <w:t>Displays real-time system data, controls, and status indicators.</w:t>
            </w:r>
          </w:p>
        </w:tc>
      </w:tr>
      <w:tr>
        <w:tc>
          <w:tcPr>
            <w:tcW w:type="dxa" w:w="4320"/>
          </w:tcPr>
          <w:p>
            <w:r>
              <w:t>AIS TARGETS</w:t>
            </w:r>
          </w:p>
        </w:tc>
        <w:tc>
          <w:tcPr>
            <w:tcW w:type="dxa" w:w="4320"/>
          </w:tcPr>
          <w:p>
            <w:r>
              <w:t>Displays real-time system data, controls, and status indicators.</w:t>
            </w:r>
          </w:p>
        </w:tc>
      </w:tr>
      <w:tr>
        <w:tc>
          <w:tcPr>
            <w:tcW w:type="dxa" w:w="4320"/>
          </w:tcPr>
          <w:p>
            <w:r>
              <w:t>REGULATION</w:t>
            </w:r>
          </w:p>
        </w:tc>
        <w:tc>
          <w:tcPr>
            <w:tcW w:type="dxa" w:w="4320"/>
          </w:tcPr>
          <w:p>
            <w:r>
              <w:t>Displays real-time system data, controls, and status indicators.</w:t>
            </w:r>
          </w:p>
        </w:tc>
      </w:tr>
    </w:tbl>
    <w:p/>
    <w:p>
      <w:r>
        <w:rPr>
          <w:b/>
        </w:rPr>
        <w:t xml:space="preserve">Header Bar: </w:t>
      </w:r>
      <w:r>
        <w:t>Shows simulator title, regulatory reference, live clock, fullscreen toggle, and exit button.</w:t>
      </w:r>
    </w:p>
    <w:p>
      <w:r>
        <w:rPr>
          <w:b/>
        </w:rPr>
        <w:t xml:space="preserve">Left Panel: </w:t>
      </w:r>
      <w:r>
        <w:t>System gauges, valve controls, and operational parameters.</w:t>
      </w:r>
    </w:p>
    <w:p>
      <w:r>
        <w:rPr>
          <w:b/>
        </w:rPr>
        <w:t xml:space="preserve">Center Panel: </w:t>
      </w:r>
      <w:r>
        <w:t>P&amp;ID schematic or main visual display (canvas/SVG).</w:t>
      </w:r>
    </w:p>
    <w:p>
      <w:r>
        <w:rPr>
          <w:b/>
        </w:rPr>
        <w:t xml:space="preserve">Right Panel: </w:t>
      </w:r>
      <w:r>
        <w:t>Alarm management, emergency controls, and scenario buttons.</w:t>
      </w:r>
    </w:p>
    <w:p>
      <w:r>
        <w:rPr>
          <w:b/>
        </w:rPr>
        <w:t xml:space="preserve">Bottom Panels: </w:t>
      </w:r>
      <w:r>
        <w:t>Trend charts, gas detection, scenario checklists, and supplementary data.</w:t>
      </w:r>
    </w:p>
    <w:p>
      <w:pPr>
        <w:pStyle w:val="Heading1"/>
      </w:pPr>
      <w:r>
        <w:t>4. System Components</w:t>
      </w:r>
    </w:p>
    <w:p>
      <w:pPr>
        <w:pStyle w:val="Heading1"/>
      </w:pPr>
      <w:r>
        <w:t>5. Training Scenarios</w:t>
      </w:r>
    </w:p>
    <w:p>
      <w:r>
        <w:t>Scenario information will be displayed in the simulator modal on launch. Follow the on-screen checklist to complete each training objective.</w:t>
      </w:r>
    </w:p>
    <w:p>
      <w:pPr>
        <w:pStyle w:val="Heading1"/>
      </w:pPr>
      <w:r>
        <w:t>6. Emergency Procedures</w:t>
      </w:r>
    </w:p>
    <w:p>
      <w:r>
        <w:t>When an alarm condition occurs:</w:t>
      </w:r>
    </w:p>
    <w:p>
      <w:r>
        <w:rPr>
          <w:b/>
        </w:rPr>
        <w:t xml:space="preserve">1. </w:t>
      </w:r>
      <w:r>
        <w:t>Identify the alarm in the Alarm Management panel (right side).</w:t>
      </w:r>
    </w:p>
    <w:p>
      <w:r>
        <w:rPr>
          <w:b/>
        </w:rPr>
        <w:t xml:space="preserve">2. </w:t>
      </w:r>
      <w:r>
        <w:t>Acknowledge the alarm by clicking on it.</w:t>
      </w:r>
    </w:p>
    <w:p>
      <w:r>
        <w:rPr>
          <w:b/>
        </w:rPr>
        <w:t xml:space="preserve">3. </w:t>
      </w:r>
      <w:r>
        <w:t>Assess the severity: WARNING (amber) requires monitoring; ALARM (red) requires immediate action.</w:t>
      </w:r>
    </w:p>
    <w:p>
      <w:r>
        <w:rPr>
          <w:b/>
        </w:rPr>
        <w:t xml:space="preserve">4. </w:t>
      </w:r>
      <w:r>
        <w:t>If Emergency Shutdown (ESD) is required, press the ESD button.</w:t>
      </w:r>
    </w:p>
    <w:p>
      <w:r>
        <w:rPr>
          <w:b/>
        </w:rPr>
        <w:t xml:space="preserve">5. </w:t>
      </w:r>
      <w:r>
        <w:t>Follow the scenario checklist for step-by-step response.</w:t>
      </w:r>
    </w:p>
    <w:p>
      <w:r>
        <w:rPr>
          <w:b/>
        </w:rPr>
        <w:t xml:space="preserve">6. </w:t>
      </w:r>
      <w:r>
        <w:t>After resolving the condition, use the RESET button to restore normal operations.</w:t>
      </w:r>
    </w:p>
    <w:p>
      <w:pPr>
        <w:pStyle w:val="Heading1"/>
      </w:pPr>
      <w:r>
        <w:t>7. Reference Documentation</w:t>
      </w:r>
    </w:p>
    <w:p>
      <w:pPr>
        <w:pStyle w:val="Heading2"/>
      </w:pPr>
      <w:r>
        <w:t>reference</w:t>
      </w:r>
    </w:p>
    <w:p>
      <w:pPr>
        <w:pStyle w:val="Heading2"/>
      </w:pPr>
      <w:r>
        <w:t>ECDIS Operation &amp; Alarm Handling — Technical Reference</w:t>
      </w:r>
    </w:p>
    <w:p>
      <w:pPr>
        <w:pStyle w:val="Heading3"/>
      </w:pPr>
      <w:r>
        <w:t>Overview</w:t>
      </w:r>
    </w:p>
    <w:p>
      <w:r>
        <w:t>Electronic Chart Display and Information System (ECDIS) is a computer-based navigation system that complies with IMO regulations and can be used as an alternative to paper nautical charts. This simulator trains operators in route planning, alarm handling, and regulatory compliance.</w:t>
      </w:r>
    </w:p>
    <w:p>
      <w:pPr>
        <w:pStyle w:val="Heading3"/>
      </w:pPr>
      <w:r>
        <w:t>Regulatory Framework</w:t>
      </w:r>
    </w:p>
    <w:p>
      <w:pPr>
        <w:pStyle w:val="ListBullet"/>
        <w:spacing w:after="40"/>
      </w:pPr>
      <w:r>
        <w:t>**SOLAS V/Regulation 19** — Carriage requirements for shipborne navigational systems and equipment</w:t>
      </w:r>
    </w:p>
    <w:p>
      <w:pPr>
        <w:pStyle w:val="ListBullet"/>
        <w:spacing w:after="40"/>
      </w:pPr>
      <w:r>
        <w:t>**MSC.232(82)** — Revised performance standards for ECDIS (2006)</w:t>
      </w:r>
    </w:p>
    <w:p>
      <w:pPr>
        <w:pStyle w:val="ListBullet"/>
        <w:spacing w:after="40"/>
      </w:pPr>
      <w:r>
        <w:t>**SN.1/Circ.266** — Differences between ECDIS and paper charts</w:t>
      </w:r>
    </w:p>
    <w:p>
      <w:pPr>
        <w:pStyle w:val="ListBullet"/>
        <w:spacing w:after="40"/>
      </w:pPr>
      <w:r>
        <w:t>**STCW A-II/1** — Mandatory minimum requirements for officers in charge of a navigational watch</w:t>
      </w:r>
    </w:p>
    <w:p>
      <w:pPr>
        <w:pStyle w:val="ListBullet"/>
        <w:spacing w:after="40"/>
      </w:pPr>
      <w:r>
        <w:t>**MSC-FAL.1/Circ.3** — Maritime Cyber Risk Management in Safety Management Systems</w:t>
      </w:r>
    </w:p>
    <w:p>
      <w:pPr>
        <w:pStyle w:val="Heading3"/>
      </w:pPr>
      <w:r>
        <w:t>Chart Standards</w:t>
      </w:r>
    </w:p>
    <w:p>
      <w:pPr>
        <w:pStyle w:val="ListBullet"/>
        <w:spacing w:after="40"/>
      </w:pPr>
      <w:r>
        <w:t>**ENC (Electronic Navigational Chart)** — Vector data in S-57/S-100 format, official hydrographic data</w:t>
      </w:r>
    </w:p>
    <w:p>
      <w:pPr>
        <w:pStyle w:val="ListBullet"/>
        <w:spacing w:after="40"/>
      </w:pPr>
      <w:r>
        <w:t>**RNC (Raster Navigational Chart)** — Scanned images of paper charts (backup use)</w:t>
      </w:r>
    </w:p>
    <w:p>
      <w:pPr>
        <w:pStyle w:val="ListBullet"/>
        <w:spacing w:after="40"/>
      </w:pPr>
      <w:r>
        <w:t>**SENC (System Electronic Navigational Chart)** — ENC data processed for display in the ECDIS</w:t>
      </w:r>
    </w:p>
    <w:p>
      <w:pPr>
        <w:pStyle w:val="Heading3"/>
      </w:pPr>
      <w:r>
        <w:t>S-52 Display Categories</w:t>
      </w:r>
    </w:p>
    <w:p>
      <w:r>
        <w:t>| Category | Description |</w:t>
      </w:r>
    </w:p>
    <w:p>
      <w:r>
        <w:t>|----------|-------------|</w:t>
      </w:r>
    </w:p>
    <w:p>
      <w:r>
        <w:t>| Display Base | Minimum information always displayed |</w:t>
      </w:r>
    </w:p>
    <w:p>
      <w:r>
        <w:t>| Standard Display | IMO recommended default view |</w:t>
      </w:r>
    </w:p>
    <w:p>
      <w:r>
        <w:t>| All Other Information | User-selectable additional data |</w:t>
      </w:r>
    </w:p>
    <w:p>
      <w:pPr>
        <w:pStyle w:val="Heading3"/>
      </w:pPr>
      <w:r>
        <w:t>Key Alarms</w:t>
      </w:r>
    </w:p>
    <w:p>
      <w:r>
        <w:t>| Alarm | Trigger Condition | Priority |</w:t>
      </w:r>
    </w:p>
    <w:p>
      <w:r>
        <w:t>|-------|-------------------|----------|</w:t>
      </w:r>
    </w:p>
    <w:p>
      <w:r>
        <w:t>| Anti-Grounding | CPA to danger &lt; safety margin | 1 — Critical |</w:t>
      </w:r>
    </w:p>
    <w:p>
      <w:r>
        <w:t>| Off-Route | Cross-track error &gt; XTL setting | 2 — High |</w:t>
      </w:r>
    </w:p>
    <w:p>
      <w:r>
        <w:t>| Shallow Water | Depth ahead &lt; safety depth (default 10m) | 1 — Critical |</w:t>
      </w:r>
    </w:p>
    <w:p>
      <w:r>
        <w:t>| Anchor Watch | Position deviation &gt; drag circle | 2 — High |</w:t>
      </w:r>
    </w:p>
    <w:p>
      <w:r>
        <w:t>| AIS CPA Warning | AIS target CPA &lt; TCPA threshold | 2 — High |</w:t>
      </w:r>
    </w:p>
    <w:p>
      <w:r>
        <w:t>| SENC Update Due | Chart data older than update cycle | 3 — Advisory |</w:t>
      </w:r>
    </w:p>
    <w:p>
      <w:pPr>
        <w:pStyle w:val="Heading3"/>
      </w:pPr>
      <w:r>
        <w:t>Navigation Data Parameters</w:t>
      </w:r>
    </w:p>
    <w:p>
      <w:r>
        <w:t>| Parameter | Description | Unit |</w:t>
      </w:r>
    </w:p>
    <w:p>
      <w:r>
        <w:t>|-----------|-------------|------|</w:t>
      </w:r>
    </w:p>
    <w:p>
      <w:r>
        <w:t>| SOG | Speed Over Ground | knots |</w:t>
      </w:r>
    </w:p>
    <w:p>
      <w:r>
        <w:t>| COG | Course Over Ground | degrees True |</w:t>
      </w:r>
    </w:p>
    <w:p>
      <w:r>
        <w:t>| HDG | Heading (gyro) | degrees True |</w:t>
      </w:r>
    </w:p>
    <w:p>
      <w:r>
        <w:t>| DTG | Distance to Go (next WPT) | nautical miles |</w:t>
      </w:r>
    </w:p>
    <w:p>
      <w:r>
        <w:t>| ETA | Estimated Time of Arrival | UTC |</w:t>
      </w:r>
    </w:p>
    <w:p>
      <w:r>
        <w:t>| XTE | Cross-Track Error | nautical miles |</w:t>
      </w:r>
    </w:p>
    <w:p>
      <w:r>
        <w:t>| ROT | Rate of Turn | degrees/min |</w:t>
      </w:r>
    </w:p>
    <w:p>
      <w:pPr>
        <w:pStyle w:val="Heading3"/>
      </w:pPr>
      <w:r>
        <w:t>Chart Scales</w:t>
      </w:r>
    </w:p>
    <w:p>
      <w:r>
        <w:t>| Mode | Typical Scale |</w:t>
      </w:r>
    </w:p>
    <w:p>
      <w:r>
        <w:t>|------|---------------|</w:t>
      </w:r>
    </w:p>
    <w:p>
      <w:r>
        <w:t>| Berth | 1:1,000 – 1:5,000 |</w:t>
      </w:r>
    </w:p>
    <w:p>
      <w:r>
        <w:t>| Harbour | 1:5,000 – 1:20,000 |</w:t>
      </w:r>
    </w:p>
    <w:p>
      <w:r>
        <w:t>| Coastal | 1:20,000 – 1:150,000 |</w:t>
      </w:r>
    </w:p>
    <w:p>
      <w:r>
        <w:t>| Ocean | 1:150,000 – 1:3,500,000 |</w:t>
      </w:r>
    </w:p>
    <w:p>
      <w:pPr>
        <w:pStyle w:val="Heading3"/>
      </w:pPr>
      <w:r>
        <w:t>ARPA Integration</w:t>
      </w:r>
    </w:p>
    <w:p>
      <w:r>
        <w:t>ECDIS receives AIS data from VHF transponder and radar ARPA data via IEC 61162 interface. Targets with CPA/TCPA below threshold generate integrated alerts.</w:t>
      </w:r>
    </w:p>
    <w:p>
      <w:pPr>
        <w:pStyle w:val="Heading3"/>
      </w:pPr>
      <w:r>
        <w:t>Route Planning Procedure</w:t>
      </w:r>
    </w:p>
    <w:p>
      <w:r>
        <w:t>1. Create new route — define departure and destination</w:t>
      </w:r>
    </w:p>
    <w:p>
      <w:r>
        <w:t>2. Add waypoints — chart click or coordinate entry</w:t>
      </w:r>
    </w:p>
    <w:p>
      <w:r>
        <w:t>3. Set XTL (Cross-Track Limit) per leg (typically 0.1–0.5 nm)</w:t>
      </w:r>
    </w:p>
    <w:p>
      <w:r>
        <w:t>4. Run route check — system validates against chart hazards</w:t>
      </w:r>
    </w:p>
    <w:p>
      <w:r>
        <w:t>5. Safety contour verification — confirm depth margins</w:t>
      </w:r>
    </w:p>
    <w:p>
      <w:r>
        <w:t>6. Pilot boarding position — mark separately</w:t>
      </w:r>
    </w:p>
    <w:p>
      <w:r>
        <w:t>7. Activate route for monitoring</w:t>
      </w:r>
    </w:p>
    <w:p>
      <w:pPr>
        <w:pStyle w:val="Heading3"/>
      </w:pPr>
      <w:r>
        <w:t>Safety Settings</w:t>
      </w:r>
    </w:p>
    <w:p>
      <w:pPr>
        <w:pStyle w:val="ListBullet"/>
        <w:spacing w:after="40"/>
      </w:pPr>
      <w:r>
        <w:t>**Safety Depth** — Soundings shallower than this value are highlighted (default: vessel draft + UKC)</w:t>
      </w:r>
    </w:p>
    <w:p>
      <w:pPr>
        <w:pStyle w:val="ListBullet"/>
        <w:spacing w:after="40"/>
      </w:pPr>
      <w:r>
        <w:t>**Safety Contour** — Contour separating safe/unsafe water (minimum vessel draft + 20% UKC)</w:t>
      </w:r>
    </w:p>
    <w:p>
      <w:pPr>
        <w:pStyle w:val="ListBullet"/>
        <w:spacing w:after="40"/>
      </w:pPr>
      <w:r>
        <w:t>**Shallow Contour** — Additional warning depth</w:t>
      </w:r>
    </w:p>
    <w:p>
      <w:pPr>
        <w:pStyle w:val="ListBullet"/>
        <w:spacing w:after="40"/>
      </w:pPr>
      <w:r>
        <w:t>**Deep Water Contour** — Maximum depth display filter</w:t>
      </w:r>
    </w:p>
    <w:p>
      <w:pPr>
        <w:pStyle w:val="Heading3"/>
      </w:pPr>
      <w:r>
        <w:t>Scenarios in Simulator</w:t>
      </w:r>
    </w:p>
    <w:p>
      <w:r>
        <w:t>| Scenario | Key Learning Points |</w:t>
      </w:r>
    </w:p>
    <w:p>
      <w:r>
        <w:t>|----------|---------------------|</w:t>
      </w:r>
    </w:p>
    <w:p>
      <w:r>
        <w:t>| Harbour Entry | Shallow water alarm response, chart scale transition |</w:t>
      </w:r>
    </w:p>
    <w:p>
      <w:r>
        <w:t>| Off-Route Deviation | XTL alarm acknowledgement, return-to-route procedure |</w:t>
      </w:r>
    </w:p>
    <w:p>
      <w:r>
        <w:t>| AIS Target CPA Warning | Collision avoidance decision, COLREGS application |</w:t>
      </w:r>
    </w:p>
    <w:p>
      <w:pPr>
        <w:pStyle w:val="Heading3"/>
      </w:pPr>
      <w:r>
        <w:t>References</w:t>
      </w:r>
    </w:p>
    <w:p>
      <w:pPr>
        <w:pStyle w:val="ListBullet"/>
        <w:spacing w:after="40"/>
      </w:pPr>
      <w:r>
        <w:t>IHO Publication S-57: IHO Transfer Standard for Digital Hydrographic Data</w:t>
      </w:r>
    </w:p>
    <w:p>
      <w:pPr>
        <w:pStyle w:val="ListBullet"/>
        <w:spacing w:after="40"/>
      </w:pPr>
      <w:r>
        <w:t>IHO Publication S-52: Specifications for Chart Content and Display Aspects of ECDIS</w:t>
      </w:r>
    </w:p>
    <w:p>
      <w:pPr>
        <w:pStyle w:val="ListBullet"/>
        <w:spacing w:after="40"/>
      </w:pPr>
      <w:r>
        <w:t>IMO SN.1/Circ.266: Differences Between ECDIS and Paper Chart</w:t>
      </w:r>
    </w:p>
    <w:p>
      <w:pPr>
        <w:pStyle w:val="ListBullet"/>
        <w:spacing w:after="40"/>
      </w:pPr>
      <w:r>
        <w:t>IMO MSC.232(82): Revised Performance Standards for ECDIS</w:t>
      </w:r>
    </w:p>
    <w:p>
      <w:pPr>
        <w:pStyle w:val="Heading1"/>
      </w:pPr>
      <w:r>
        <w:t>8. Trainee Assessment Checklist</w:t>
      </w:r>
    </w:p>
    <w:p>
      <w:r>
        <w:t>The instructor should verify the trainee can:</w:t>
      </w:r>
    </w:p>
    <w:p>
      <w:pPr>
        <w:pStyle w:val="ListBullet"/>
      </w:pPr>
      <w:r>
        <w:t>Identify all panels and their functions.</w:t>
      </w:r>
    </w:p>
    <w:p>
      <w:pPr>
        <w:pStyle w:val="ListBullet"/>
      </w:pPr>
      <w:r>
        <w:t>Read and interpret gauge values and colour codes.</w:t>
      </w:r>
    </w:p>
    <w:p>
      <w:pPr>
        <w:pStyle w:val="ListBullet"/>
      </w:pPr>
      <w:r>
        <w:t>Operate valve controls correctly.</w:t>
      </w:r>
    </w:p>
    <w:p>
      <w:pPr>
        <w:pStyle w:val="ListBullet"/>
      </w:pPr>
      <w:r>
        <w:t>Acknowledge and respond to alarms within appropriate time.</w:t>
      </w:r>
    </w:p>
    <w:p>
      <w:pPr>
        <w:pStyle w:val="ListBullet"/>
      </w:pPr>
      <w:r>
        <w:t>Execute the Emergency Shutdown procedure.</w:t>
      </w:r>
    </w:p>
    <w:p>
      <w:pPr>
        <w:pStyle w:val="ListBullet"/>
      </w:pPr>
      <w:r>
        <w:t>Complete at least two training scenarios with all checklist items done.</w:t>
      </w:r>
    </w:p>
    <w:p>
      <w:pPr>
        <w:pStyle w:val="ListBullet"/>
      </w:pPr>
      <w:r>
        <w:t>Explain the regulatory basis for the system (where applicable).</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Assessment Item</w:t>
            </w:r>
          </w:p>
        </w:tc>
        <w:tc>
          <w:tcPr>
            <w:tcW w:type="dxa" w:w="2880"/>
          </w:tcPr>
          <w:p>
            <w:r>
              <w:rPr>
                <w:b/>
              </w:rPr>
              <w:t>Result (Pass/Fail)</w:t>
            </w:r>
          </w:p>
        </w:tc>
        <w:tc>
          <w:tcPr>
            <w:tcW w:type="dxa" w:w="2880"/>
          </w:tcPr>
          <w:p>
            <w:r>
              <w:rPr>
                <w:b/>
              </w:rPr>
              <w:t>Remarks</w:t>
            </w:r>
          </w:p>
        </w:tc>
      </w:tr>
      <w:tr>
        <w:tc>
          <w:tcPr>
            <w:tcW w:type="dxa" w:w="2880"/>
          </w:tcPr>
          <w:p>
            <w:r>
              <w:t>Scenario Completion</w:t>
            </w:r>
          </w:p>
        </w:tc>
        <w:tc>
          <w:tcPr>
            <w:tcW w:type="dxa" w:w="2880"/>
          </w:tcPr>
          <w:p/>
        </w:tc>
        <w:tc>
          <w:tcPr>
            <w:tcW w:type="dxa" w:w="2880"/>
          </w:tcPr>
          <w:p/>
        </w:tc>
      </w:tr>
      <w:tr>
        <w:tc>
          <w:tcPr>
            <w:tcW w:type="dxa" w:w="2880"/>
          </w:tcPr>
          <w:p>
            <w:r>
              <w:t>Alarm Response</w:t>
            </w:r>
          </w:p>
        </w:tc>
        <w:tc>
          <w:tcPr>
            <w:tcW w:type="dxa" w:w="2880"/>
          </w:tcPr>
          <w:p/>
        </w:tc>
        <w:tc>
          <w:tcPr>
            <w:tcW w:type="dxa" w:w="2880"/>
          </w:tcPr>
          <w:p/>
        </w:tc>
      </w:tr>
      <w:tr>
        <w:tc>
          <w:tcPr>
            <w:tcW w:type="dxa" w:w="2880"/>
          </w:tcPr>
          <w:p>
            <w:r>
              <w:t>Emergency Procedure</w:t>
            </w:r>
          </w:p>
        </w:tc>
        <w:tc>
          <w:tcPr>
            <w:tcW w:type="dxa" w:w="2880"/>
          </w:tcPr>
          <w:p/>
        </w:tc>
        <w:tc>
          <w:tcPr>
            <w:tcW w:type="dxa" w:w="2880"/>
          </w:tcPr>
          <w:p/>
        </w:tc>
      </w:tr>
    </w:tbl>
    <w:p/>
    <w:p>
      <w:pPr>
        <w:jc w:val="center"/>
      </w:pPr>
      <w:r>
        <w:rPr>
          <w:color w:val="969696"/>
          <w:sz w:val="16"/>
        </w:rPr>
        <w:t>Generated by BlueSim Training Guide System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pPr>
    <w:rPr>
      <w:rFonts w:ascii="Calibri" w:hAnsi="Calibri"/>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