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Fixed Gas Detection System</w:t>
      </w:r>
    </w:p>
    <w:p>
      <w:pPr>
        <w:jc w:val="center"/>
      </w:pPr>
      <w:r>
        <w:rPr>
          <w:color w:val="646464"/>
          <w:sz w:val="24"/>
        </w:rPr>
        <w:t>Safety &amp; Emergency</w:t>
      </w:r>
    </w:p>
    <w:p>
      <w:pPr>
        <w:jc w:val="center"/>
      </w:pPr>
      <w:r>
        <w:rPr>
          <w:color w:val="505050"/>
          <w:sz w:val="20"/>
        </w:rPr>
        <w:t>Fixed multi-gas detection system for gas carriers and tankers. Monitors HC (%LEL), H2S, O2, CO, and NH3 across 6 zones with alarm setpoints, automatic ESD/ventilation actions, and sensor fault diagnostics per IGC Code Ch.13, SOLAS II-2, and IEC 60092-504.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Fixed multi-gas detection system for gas carriers and tankers. Monitors HC (%LEL), H2S, O2, CO, and NH3 across 6 zones with alarm setpoints, automatic ESD/ventilation actions, and sensor fault diagnostics per IGC Code Ch.13, SOLAS II-2, and IEC 60092-504.</w:t>
      </w:r>
    </w:p>
    <w:p>
      <w:pPr>
        <w:pStyle w:val="Heading2"/>
      </w:pPr>
      <w:r>
        <w:t>Key Features</w:t>
      </w:r>
    </w:p>
    <w:p>
      <w:pPr>
        <w:pStyle w:val="ListBullet"/>
      </w:pPr>
      <w:r>
        <w:t>Six monitoring zones: Cargo Hold, Pump Room, Compressor Room, Cofferdam, Void Space, HVAC Intake.</w:t>
      </w:r>
    </w:p>
    <w:p>
      <w:pPr>
        <w:pStyle w:val="ListBullet"/>
      </w:pPr>
      <w:r>
        <w:t>Five gas types: HC (%LEL), H2S (ppm), O2 (%v/v), CO (ppm), NH3 (ppm) with warning and alarm setpoints.</w:t>
      </w:r>
    </w:p>
    <w:p>
      <w:pPr>
        <w:pStyle w:val="ListBullet"/>
      </w:pPr>
      <w:r>
        <w:t>Automatic actions on alarm: ventilation maximum, HVAC shutdown, ESD signal.</w:t>
      </w:r>
    </w:p>
    <w:p>
      <w:pPr>
        <w:pStyle w:val="ListBullet"/>
      </w:pPr>
      <w:r>
        <w:t>Sensor status matrix: normal, warning, alarm, fault, and inhibit states per zone.</w:t>
      </w:r>
    </w:p>
    <w:p>
      <w:pPr>
        <w:pStyle w:val="ListBullet"/>
      </w:pPr>
      <w:r>
        <w:t>Calibration due date tracking and bump test simulation for each sensor.</w:t>
      </w:r>
    </w:p>
    <w:p>
      <w:pPr>
        <w:pStyle w:val="ListBullet"/>
      </w:pPr>
      <w:r>
        <w:t>Historical reading log strip with trend indication per zone.</w:t>
      </w:r>
    </w:p>
    <w:p>
      <w:pPr>
        <w:pStyle w:val="ListBullet"/>
      </w:pPr>
      <w:r>
        <w:t>Scenarios: Cargo Hold Gas Alarm, Pump Room H2S Detection, Sensor Calibration Check, O2 Deficiency Alert.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ZONE STATUS MATRIX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GAS DETECTION PANEL — SHIP LAYOUT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GAS ALARMS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CALIBRATION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GAS EVENT LOG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SYSTEM SUMMARY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Fixed Gas Detection System — Technical Reference</w:t>
      </w:r>
    </w:p>
    <w:p>
      <w:pPr>
        <w:pStyle w:val="Heading3"/>
      </w:pPr>
      <w:r>
        <w:t>Overview</w:t>
      </w:r>
    </w:p>
    <w:p>
      <w:r>
        <w:t>Fixed multi-gas detection systems are mandatory on gas carriers and tankers to continuously monitor for hazardous gas concentrations in enclosed and semi-enclosed spaces. The system provides warning and alarm outputs that can trigger automatic ventilation, ESD, and HVAC shutdown.</w:t>
      </w:r>
    </w:p>
    <w:p>
      <w:pPr>
        <w:pStyle w:val="Heading3"/>
      </w:pPr>
      <w:r>
        <w:t>Regulatory Basis</w:t>
      </w:r>
    </w:p>
    <w:p>
      <w:pPr>
        <w:pStyle w:val="ListBullet"/>
        <w:spacing w:after="40"/>
      </w:pPr>
      <w:r>
        <w:t>**IGC Code Chapter 13** — Instrumentation (gas detection)</w:t>
      </w:r>
    </w:p>
    <w:p>
      <w:pPr>
        <w:pStyle w:val="ListBullet"/>
        <w:spacing w:after="40"/>
      </w:pPr>
      <w:r>
        <w:t>**SOLAS II-2** — Harmful vapours and fire hazards</w:t>
      </w:r>
    </w:p>
    <w:p>
      <w:pPr>
        <w:pStyle w:val="ListBullet"/>
        <w:spacing w:after="40"/>
      </w:pPr>
      <w:r>
        <w:t>**IMO MSC.1/Circ.1370** — Recommendations for entering enclosed spaces</w:t>
      </w:r>
    </w:p>
    <w:p>
      <w:pPr>
        <w:pStyle w:val="ListBullet"/>
        <w:spacing w:after="40"/>
      </w:pPr>
      <w:r>
        <w:t>**IEC 60092-504** — Electrical installations in ships — process measurement and control</w:t>
      </w:r>
    </w:p>
    <w:p>
      <w:pPr>
        <w:pStyle w:val="ListBullet"/>
        <w:spacing w:after="40"/>
      </w:pPr>
      <w:r>
        <w:t>**IEC 61779** — Electrical apparatus for detection of flammable gases</w:t>
      </w:r>
    </w:p>
    <w:p>
      <w:pPr>
        <w:pStyle w:val="Heading3"/>
      </w:pPr>
      <w:r>
        <w:t>Gas Types Monitored</w:t>
      </w:r>
    </w:p>
    <w:p>
      <w:r>
        <w:t>| Gas | Symbol | Unit | Alarm Setpoints | Notes |</w:t>
      </w:r>
    </w:p>
    <w:p>
      <w:r>
        <w:t>|-----|--------|------|-----------------|-------|</w:t>
      </w:r>
    </w:p>
    <w:p>
      <w:r>
        <w:t>| Hydrocarbons (LEL) | HC | % LEL | W: 20% / A: 40% | LPG, LNG, cargo vapours |</w:t>
      </w:r>
    </w:p>
    <w:p>
      <w:r>
        <w:t>| Hydrogen Sulphide | H2S | ppm | W: 5 ppm / A: 10 ppm | Crude oil carriers, H2S crude |</w:t>
      </w:r>
    </w:p>
    <w:p>
      <w:r>
        <w:t>| Oxygen | O2 | % v/v | Low W: 19.5% / A: 18% | High W: 23.5% / A: 25% |</w:t>
      </w:r>
    </w:p>
    <w:p>
      <w:r>
        <w:t>| Carbon Monoxide | CO | ppm | W: 25 ppm / A: 50 ppm | Engine exhausts, fire indicator |</w:t>
      </w:r>
    </w:p>
    <w:p>
      <w:r>
        <w:t>| Ammonia (if fitted) | NH3 | ppm | W: 25 ppm / A: 50 ppm | Refrigeration systems |</w:t>
      </w:r>
    </w:p>
    <w:p>
      <w:pPr>
        <w:pStyle w:val="Heading3"/>
      </w:pPr>
      <w:r>
        <w:t>Monitored Zones (6)</w:t>
      </w:r>
    </w:p>
    <w:p>
      <w:r>
        <w:t>| Zone | ID | Location | Gases Monitored |</w:t>
      </w:r>
    </w:p>
    <w:p>
      <w:r>
        <w:t>|------|----|----------|-----------------|</w:t>
      </w:r>
    </w:p>
    <w:p>
      <w:r>
        <w:t>| Cargo Hold | CH | Between tanks, void spaces | HC, O2 |</w:t>
      </w:r>
    </w:p>
    <w:p>
      <w:r>
        <w:t>| Pump Room | PR | Cargo pump room | HC, H2S, O2 |</w:t>
      </w:r>
    </w:p>
    <w:p>
      <w:r>
        <w:t>| Compressor Room | CR | Cargo compressor space | HC, NH3, O2 |</w:t>
      </w:r>
    </w:p>
    <w:p>
      <w:r>
        <w:t>| Cofferdam | CF | Fore/aft cofferdams | HC, H2S, O2 |</w:t>
      </w:r>
    </w:p>
    <w:p>
      <w:r>
        <w:t>| Void Space | VS | Double bottom/wing voids | HC, O2 |</w:t>
      </w:r>
    </w:p>
    <w:p>
      <w:r>
        <w:t>| HVAC Intake | HV | Accommodation HVAC inlet | HC, H2S, CO |</w:t>
      </w:r>
    </w:p>
    <w:p>
      <w:pPr>
        <w:pStyle w:val="Heading3"/>
      </w:pPr>
      <w:r>
        <w:t>Alarm Levels</w:t>
      </w:r>
    </w:p>
    <w:p>
      <w:pPr>
        <w:pStyle w:val="Heading4"/>
      </w:pPr>
      <w:r>
        <w:t>HC (Hydrocarbons)</w:t>
      </w:r>
    </w:p>
    <w:p>
      <w:pPr>
        <w:pStyle w:val="ListBullet"/>
        <w:spacing w:after="40"/>
      </w:pPr>
      <w:r>
        <w:t>**Warning (20% LEL):** Increase ventilation, monitor continuously</w:t>
      </w:r>
    </w:p>
    <w:p>
      <w:pPr>
        <w:pStyle w:val="ListBullet"/>
        <w:spacing w:after="40"/>
      </w:pPr>
      <w:r>
        <w:t>**Alarm (40% LEL):** Stop all hot work, evacuate space, trigger ESD</w:t>
      </w:r>
    </w:p>
    <w:p>
      <w:pPr>
        <w:pStyle w:val="ListBullet"/>
        <w:spacing w:after="40"/>
      </w:pPr>
      <w:r>
        <w:t>**Note:** 100% LEL = Lower Explosive Limit (ignition possible above this)</w:t>
      </w:r>
    </w:p>
    <w:p>
      <w:pPr>
        <w:pStyle w:val="Heading4"/>
      </w:pPr>
      <w:r>
        <w:t>H2S (Hydrogen Sulphide)</w:t>
      </w:r>
    </w:p>
    <w:p>
      <w:pPr>
        <w:pStyle w:val="ListBullet"/>
        <w:spacing w:after="40"/>
      </w:pPr>
      <w:r>
        <w:t>**Warning (5 ppm):** Don SCBA, increase ventilation</w:t>
      </w:r>
    </w:p>
    <w:p>
      <w:pPr>
        <w:pStyle w:val="ListBullet"/>
        <w:spacing w:after="40"/>
      </w:pPr>
      <w:r>
        <w:t>**Alarm (10 ppm):** Evacuate immediately (IDLH = 10 ppm immediate danger)</w:t>
      </w:r>
    </w:p>
    <w:p>
      <w:pPr>
        <w:pStyle w:val="ListBullet"/>
        <w:spacing w:after="40"/>
      </w:pPr>
      <w:r>
        <w:t>**Note:** H2S causes rapid olfactory fatigue — do not rely on smell</w:t>
      </w:r>
    </w:p>
    <w:p>
      <w:pPr>
        <w:pStyle w:val="Heading4"/>
      </w:pPr>
      <w:r>
        <w:t>O2 (Oxygen)</w:t>
      </w:r>
    </w:p>
    <w:p>
      <w:pPr>
        <w:pStyle w:val="ListBullet"/>
        <w:spacing w:after="40"/>
      </w:pPr>
      <w:r>
        <w:t>**Oxygen Deficiency Warning:** &lt; 19.5% v/v</w:t>
      </w:r>
    </w:p>
    <w:p>
      <w:pPr>
        <w:pStyle w:val="ListBullet"/>
        <w:spacing w:after="40"/>
      </w:pPr>
      <w:r>
        <w:t>**Oxygen Deficiency Alarm:** &lt; 18.0% v/v (cannot enter without SCBA)</w:t>
      </w:r>
    </w:p>
    <w:p>
      <w:pPr>
        <w:pStyle w:val="ListBullet"/>
        <w:spacing w:after="40"/>
      </w:pPr>
      <w:r>
        <w:t>**Oxygen Enrichment Warning:** &gt; 23.5% v/v (enhanced fire risk)</w:t>
      </w:r>
    </w:p>
    <w:p>
      <w:pPr>
        <w:pStyle w:val="ListBullet"/>
        <w:spacing w:after="40"/>
      </w:pPr>
      <w:r>
        <w:t>**Oxygen Enrichment Alarm:** &gt; 25.0% v/v</w:t>
      </w:r>
    </w:p>
    <w:p>
      <w:pPr>
        <w:pStyle w:val="Heading4"/>
      </w:pPr>
      <w:r>
        <w:t>CO (Carbon Monoxide)</w:t>
      </w:r>
    </w:p>
    <w:p>
      <w:pPr>
        <w:pStyle w:val="ListBullet"/>
        <w:spacing w:after="40"/>
      </w:pPr>
      <w:r>
        <w:t>**Warning:** 25 ppm (8-hour TWA = 25 ppm)</w:t>
      </w:r>
    </w:p>
    <w:p>
      <w:pPr>
        <w:pStyle w:val="ListBullet"/>
        <w:spacing w:after="40"/>
      </w:pPr>
      <w:r>
        <w:t>**Alarm:** 50 ppm (short-term exposure limit 100 ppm)</w:t>
      </w:r>
    </w:p>
    <w:p>
      <w:pPr>
        <w:pStyle w:val="Heading3"/>
      </w:pPr>
      <w:r>
        <w:t>Automatic Actions</w:t>
      </w:r>
    </w:p>
    <w:p>
      <w:r>
        <w:t>| Condition | Action |</w:t>
      </w:r>
    </w:p>
    <w:p>
      <w:r>
        <w:t>|-----------|--------|</w:t>
      </w:r>
    </w:p>
    <w:p>
      <w:r>
        <w:t>| HC Alarm (40% LEL) | ESD signal, ventilation max, HVAC shutdown |</w:t>
      </w:r>
    </w:p>
    <w:p>
      <w:r>
        <w:t>| H2S Alarm (10 ppm) | Sound alarm, HVAC shutdown, evacuate |</w:t>
      </w:r>
    </w:p>
    <w:p>
      <w:r>
        <w:t>| O2 &lt; 18% | Entry prohibition, SCBA requirement |</w:t>
      </w:r>
    </w:p>
    <w:p>
      <w:r>
        <w:t>| HC at HVAC intake &gt;20% LEL | HVAC shutdown, ESD Level 1 |</w:t>
      </w:r>
    </w:p>
    <w:p>
      <w:pPr>
        <w:pStyle w:val="Heading3"/>
      </w:pPr>
      <w:r>
        <w:t>Sensor Technology</w:t>
      </w:r>
    </w:p>
    <w:p>
      <w:pPr>
        <w:pStyle w:val="Heading4"/>
      </w:pPr>
      <w:r>
        <w:t>Catalytic Bead (Pellistor) — HC Detection</w:t>
      </w:r>
    </w:p>
    <w:p>
      <w:pPr>
        <w:pStyle w:val="ListBullet"/>
        <w:spacing w:after="40"/>
      </w:pPr>
      <w:r>
        <w:t>Principle: Catalytic combustion heats bead, measures resistance change</w:t>
      </w:r>
    </w:p>
    <w:p>
      <w:pPr>
        <w:pStyle w:val="ListBullet"/>
        <w:spacing w:after="40"/>
      </w:pPr>
      <w:r>
        <w:t>Range: 0–100% LEL</w:t>
      </w:r>
    </w:p>
    <w:p>
      <w:pPr>
        <w:pStyle w:val="ListBullet"/>
        <w:spacing w:after="40"/>
      </w:pPr>
      <w:r>
        <w:t>Requires O2 to function correctly</w:t>
      </w:r>
    </w:p>
    <w:p>
      <w:pPr>
        <w:pStyle w:val="ListBullet"/>
        <w:spacing w:after="40"/>
      </w:pPr>
      <w:r>
        <w:t>Poison risk: silicone, lead, halides</w:t>
      </w:r>
    </w:p>
    <w:p>
      <w:pPr>
        <w:pStyle w:val="Heading4"/>
      </w:pPr>
      <w:r>
        <w:t>Electrochemical Cell — H2S, CO, O2</w:t>
      </w:r>
    </w:p>
    <w:p>
      <w:pPr>
        <w:pStyle w:val="ListBullet"/>
        <w:spacing w:after="40"/>
      </w:pPr>
      <w:r>
        <w:t>Principle: Electrochemical oxidation/reduction</w:t>
      </w:r>
    </w:p>
    <w:p>
      <w:pPr>
        <w:pStyle w:val="ListBullet"/>
        <w:spacing w:after="40"/>
      </w:pPr>
      <w:r>
        <w:t>Cross-sensitivity: O2 cell affected by high CO2</w:t>
      </w:r>
    </w:p>
    <w:p>
      <w:pPr>
        <w:pStyle w:val="ListBullet"/>
        <w:spacing w:after="40"/>
      </w:pPr>
      <w:r>
        <w:t>Service life: 1–3 years typical</w:t>
      </w:r>
    </w:p>
    <w:p>
      <w:pPr>
        <w:pStyle w:val="Heading4"/>
      </w:pPr>
      <w:r>
        <w:t>Infrared (NDIR) — HC, CO2</w:t>
      </w:r>
    </w:p>
    <w:p>
      <w:pPr>
        <w:pStyle w:val="ListBullet"/>
        <w:spacing w:after="40"/>
      </w:pPr>
      <w:r>
        <w:t>Principle: Infrared absorption at characteristic wavelengths</w:t>
      </w:r>
    </w:p>
    <w:p>
      <w:pPr>
        <w:pStyle w:val="ListBullet"/>
        <w:spacing w:after="40"/>
      </w:pPr>
      <w:r>
        <w:t>Advantage: No O2 dependency, longer life</w:t>
      </w:r>
    </w:p>
    <w:p>
      <w:pPr>
        <w:pStyle w:val="ListBullet"/>
        <w:spacing w:after="40"/>
      </w:pPr>
      <w:r>
        <w:t>Calibration gas: Methane for HC</w:t>
      </w:r>
    </w:p>
    <w:p>
      <w:pPr>
        <w:pStyle w:val="Heading3"/>
      </w:pPr>
      <w:r>
        <w:t>Calibration Procedure</w:t>
      </w:r>
    </w:p>
    <w:p>
      <w:r>
        <w:t>1. Expose sensor to zero gas (clean dry air) — record zero reading</w:t>
      </w:r>
    </w:p>
    <w:p>
      <w:r>
        <w:t>2. Apply certified calibration gas at known concentration</w:t>
      </w:r>
    </w:p>
    <w:p>
      <w:r>
        <w:t>3. Adjust span if reading differs by &gt;±5%</w:t>
      </w:r>
    </w:p>
    <w:p>
      <w:r>
        <w:t>4. Record in calibration log</w:t>
      </w:r>
    </w:p>
    <w:p>
      <w:r>
        <w:t>5. Bump test before each enclosed space entry</w:t>
      </w:r>
    </w:p>
    <w:p>
      <w:pPr>
        <w:pStyle w:val="Heading3"/>
      </w:pPr>
      <w:r>
        <w:t>Sensor Status Definitions</w:t>
      </w:r>
    </w:p>
    <w:p>
      <w:pPr>
        <w:pStyle w:val="ListBullet"/>
        <w:spacing w:after="40"/>
      </w:pPr>
      <w:r>
        <w:t>**NORMAL** — Within range, no alarm</w:t>
      </w:r>
    </w:p>
    <w:p>
      <w:pPr>
        <w:pStyle w:val="ListBullet"/>
        <w:spacing w:after="40"/>
      </w:pPr>
      <w:r>
        <w:t>**ALARM** — Reading above alarm setpoint</w:t>
      </w:r>
    </w:p>
    <w:p>
      <w:pPr>
        <w:pStyle w:val="ListBullet"/>
        <w:spacing w:after="40"/>
      </w:pPr>
      <w:r>
        <w:t>**WARNING** — Reading above warning setpoint</w:t>
      </w:r>
    </w:p>
    <w:p>
      <w:pPr>
        <w:pStyle w:val="ListBullet"/>
        <w:spacing w:after="40"/>
      </w:pPr>
      <w:r>
        <w:t>**FAULT** — Sensor failure, open circuit, or zero failure</w:t>
      </w:r>
    </w:p>
    <w:p>
      <w:pPr>
        <w:pStyle w:val="ListBullet"/>
        <w:spacing w:after="40"/>
      </w:pPr>
      <w:r>
        <w:t>**INHIBIT** — Manually isolated (maintenance)</w:t>
      </w:r>
    </w:p>
    <w:p>
      <w:pPr>
        <w:pStyle w:val="ListBullet"/>
        <w:spacing w:after="40"/>
      </w:pPr>
      <w:r>
        <w:t>**CALIBRATION DUE** — Service interval exceeded</w:t>
      </w:r>
    </w:p>
    <w:p>
      <w:pPr>
        <w:pStyle w:val="Heading3"/>
      </w:pPr>
      <w:r>
        <w:t>Inerting Requirements (Gas Carriers)</w:t>
      </w:r>
    </w:p>
    <w:p>
      <w:r>
        <w:t>Cargo tanks must be inerted before gas-freeing or when HC &gt;2% v/v in void spaces adjacent to tanks. Inert gas O2 content must be &lt;5% v/v.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