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Biofuel Ship Simulator</w:t>
      </w:r>
    </w:p>
    <w:p>
      <w:pPr>
        <w:jc w:val="center"/>
      </w:pPr>
      <w:r>
        <w:rPr>
          <w:color w:val="646464"/>
          <w:sz w:val="24"/>
        </w:rPr>
        <w:t>Fuel Simulators</w:t>
      </w:r>
    </w:p>
    <w:p>
      <w:pPr>
        <w:jc w:val="center"/>
      </w:pPr>
      <w:r>
        <w:rPr>
          <w:color w:val="505050"/>
          <w:sz w:val="20"/>
        </w:rPr>
        <w:t>Biofuel blend operations for marine vessels — covering FAME/HVO blends, compatibility monitoring, filter management, and CII compliance.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Biofuel blend operations for marine vessels — covering FAME/HVO blends, compatibility monitoring, filter management, and CII compliance.</w:t>
      </w:r>
    </w:p>
    <w:p>
      <w:pPr>
        <w:pStyle w:val="Heading2"/>
      </w:pPr>
      <w:r>
        <w:t>Key Features</w:t>
      </w:r>
    </w:p>
    <w:p>
      <w:pPr>
        <w:pStyle w:val="ListBullet"/>
      </w:pPr>
      <w:r>
        <w:t>Blend ratio controls, cold filter plugging point monitoring.</w:t>
      </w:r>
    </w:p>
    <w:p>
      <w:pPr>
        <w:pStyle w:val="ListBullet"/>
      </w:pPr>
      <w:r>
        <w:t>Fuel quality alerts and engine compatibility checks.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4.1 Gauges &amp; Indicators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Parameter</w:t>
            </w:r>
          </w:p>
        </w:tc>
        <w:tc>
          <w:tcPr>
            <w:tcW w:type="dxa" w:w="4320"/>
          </w:tcPr>
          <w:p>
            <w:r>
              <w:rPr>
                <w:b/>
              </w:rPr>
              <w:t>Unit</w:t>
            </w:r>
          </w:p>
        </w:tc>
      </w:tr>
      <w:tr>
        <w:tc>
          <w:tcPr>
            <w:tcW w:type="dxa" w:w="4320"/>
          </w:tcPr>
          <w:p>
            <w:r>
              <w:t>Fuel Consumption</w:t>
            </w:r>
          </w:p>
        </w:tc>
        <w:tc>
          <w:tcPr>
            <w:tcW w:type="dxa" w:w="4320"/>
          </w:tcPr>
          <w:p>
            <w:r>
              <w:t>t/h</w:t>
            </w:r>
          </w:p>
        </w:tc>
      </w:tr>
      <w:tr>
        <w:tc>
          <w:tcPr>
            <w:tcW w:type="dxa" w:w="4320"/>
          </w:tcPr>
          <w:p>
            <w:r>
              <w:t>Flashpoint</w:t>
            </w:r>
          </w:p>
        </w:tc>
        <w:tc>
          <w:tcPr>
            <w:tcW w:type="dxa" w:w="4320"/>
          </w:tcPr>
          <w:p>
            <w:r>
              <w:t>°C</w:t>
            </w:r>
          </w:p>
        </w:tc>
      </w:tr>
      <w:tr>
        <w:tc>
          <w:tcPr>
            <w:tcW w:type="dxa" w:w="4320"/>
          </w:tcPr>
          <w:p>
            <w:r>
              <w:t>Viscosity</w:t>
            </w:r>
          </w:p>
        </w:tc>
        <w:tc>
          <w:tcPr>
            <w:tcW w:type="dxa" w:w="4320"/>
          </w:tcPr>
          <w:p>
            <w:r>
              <w:t>cSt</w:t>
            </w:r>
          </w:p>
        </w:tc>
      </w:tr>
      <w:tr>
        <w:tc>
          <w:tcPr>
            <w:tcW w:type="dxa" w:w="4320"/>
          </w:tcPr>
          <w:p>
            <w:r>
              <w:t>Acid Number</w:t>
            </w:r>
          </w:p>
        </w:tc>
        <w:tc>
          <w:tcPr>
            <w:tcW w:type="dxa" w:w="4320"/>
          </w:tcPr>
          <w:p>
            <w:r>
              <w:t>mgKOH/g</w:t>
            </w:r>
          </w:p>
        </w:tc>
      </w:tr>
    </w:tbl>
    <w:p/>
    <w:p>
      <w:r>
        <w:rPr>
          <w:b/>
        </w:rPr>
        <w:t xml:space="preserve">Colour coding: </w:t>
      </w:r>
      <w:r>
        <w:t>Green = normal, Amber = warning, Red (blinking) = alarm.</w:t>
      </w:r>
    </w:p>
    <w:p>
      <w:pPr>
        <w:pStyle w:val="Heading2"/>
      </w:pPr>
      <w:r>
        <w:t>4.3 Alarm Definitions</w:t>
      </w:r>
    </w:p>
    <w:p>
      <w:r>
        <w:t>The alarm management system monitors the following conditions: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Alarm ID</w:t>
            </w:r>
          </w:p>
        </w:tc>
        <w:tc>
          <w:tcPr>
            <w:tcW w:type="dxa" w:w="2880"/>
          </w:tcPr>
          <w:p>
            <w:r>
              <w:rPr>
                <w:b/>
              </w:rPr>
              <w:t>Severity</w:t>
            </w:r>
          </w:p>
        </w:tc>
        <w:tc>
          <w:tcPr>
            <w:tcW w:type="dxa" w:w="288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2880"/>
          </w:tcPr>
          <w:p>
            <w:r>
              <w:t>SEP_HIGH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Separator differential high — check for wax/deposits</w:t>
            </w:r>
          </w:p>
        </w:tc>
      </w:tr>
      <w:tr>
        <w:tc>
          <w:tcPr>
            <w:tcW w:type="dxa" w:w="2880"/>
          </w:tcPr>
          <w:p>
            <w:r>
              <w:t>FILTER_HI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Filter differential pressure high — FAME solvency fouling</w:t>
            </w:r>
          </w:p>
        </w:tc>
      </w:tr>
      <w:tr>
        <w:tc>
          <w:tcPr>
            <w:tcW w:type="dxa" w:w="2880"/>
          </w:tcPr>
          <w:p>
            <w:r>
              <w:t>WATER_HI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Water content &gt; 0.2% — microbial growth risk</w:t>
            </w:r>
          </w:p>
        </w:tc>
      </w:tr>
      <w:tr>
        <w:tc>
          <w:tcPr>
            <w:tcW w:type="dxa" w:w="2880"/>
          </w:tcPr>
          <w:p>
            <w:r>
              <w:t>WATER_MAX</w:t>
            </w:r>
          </w:p>
        </w:tc>
        <w:tc>
          <w:tcPr>
            <w:tcW w:type="dxa" w:w="2880"/>
          </w:tcPr>
          <w:p>
            <w:r>
              <w:t>O</w:t>
            </w:r>
          </w:p>
        </w:tc>
        <w:tc>
          <w:tcPr>
            <w:tcW w:type="dxa" w:w="2880"/>
          </w:tcPr>
          <w:p>
            <w:r>
              <w:t>Water content &gt; 0.5% — drain service tank</w:t>
            </w:r>
          </w:p>
        </w:tc>
      </w:tr>
      <w:tr>
        <w:tc>
          <w:tcPr>
            <w:tcW w:type="dxa" w:w="2880"/>
          </w:tcPr>
          <w:p>
            <w:r>
              <w:t>COMPAT_FP</w:t>
            </w:r>
          </w:p>
        </w:tc>
        <w:tc>
          <w:tcPr>
            <w:tcW w:type="dxa" w:w="2880"/>
          </w:tcPr>
          <w:p>
            <w:r>
              <w:t>O</w:t>
            </w:r>
          </w:p>
        </w:tc>
        <w:tc>
          <w:tcPr>
            <w:tcW w:type="dxa" w:w="2880"/>
          </w:tcPr>
          <w:p>
            <w:r>
              <w:t>Flashpoint near limit — check blend ratio</w:t>
            </w:r>
          </w:p>
        </w:tc>
      </w:tr>
      <w:tr>
        <w:tc>
          <w:tcPr>
            <w:tcW w:type="dxa" w:w="2880"/>
          </w:tcPr>
          <w:p>
            <w:r>
              <w:t>ACID_HI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Acid number high — FAME oxidation / degradation</w:t>
            </w:r>
          </w:p>
        </w:tc>
      </w:tr>
      <w:tr>
        <w:tc>
          <w:tcPr>
            <w:tcW w:type="dxa" w:w="2880"/>
          </w:tcPr>
          <w:p>
            <w:r>
              <w:t>CII_LOW</w:t>
            </w:r>
          </w:p>
        </w:tc>
        <w:tc>
          <w:tcPr>
            <w:tcW w:type="dxa" w:w="2880"/>
          </w:tcPr>
          <w:p>
            <w:r>
              <w:t>B</w:t>
            </w:r>
          </w:p>
        </w:tc>
        <w:tc>
          <w:tcPr>
            <w:tcW w:type="dxa" w:w="2880"/>
          </w:tcPr>
          <w:p>
            <w:r>
              <w:t>CII rating improved — good CII compliance with current blend</w:t>
            </w:r>
          </w:p>
        </w:tc>
      </w:tr>
      <w:tr>
        <w:tc>
          <w:tcPr>
            <w:tcW w:type="dxa" w:w="2880"/>
          </w:tcPr>
          <w:p>
            <w:r>
              <w:t>FUEL_LOW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Fuel level low — prepare bunkering</w:t>
            </w:r>
          </w:p>
        </w:tc>
      </w:tr>
    </w:tbl>
    <w:p>
      <w:pPr>
        <w:pStyle w:val="Heading2"/>
      </w:pPr>
      <w:r>
        <w:t>4.4 Pipeline Line-Up</w:t>
      </w:r>
    </w:p>
    <w:p>
      <w:r>
        <w:t>The pipeline panel allows valve-by-valve line-up verification for each operational mode.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Valve ID</w:t>
            </w:r>
          </w:p>
        </w:tc>
        <w:tc>
          <w:tcPr>
            <w:tcW w:type="dxa" w:w="432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4320"/>
          </w:tcPr>
          <w:p>
            <w:r>
              <w:t>STTANK_IV</w:t>
            </w:r>
          </w:p>
        </w:tc>
        <w:tc>
          <w:tcPr>
            <w:tcW w:type="dxa" w:w="4320"/>
          </w:tcPr>
          <w:p>
            <w:r>
              <w:t>Service Tank (Biofuel) Isolation</w:t>
            </w:r>
          </w:p>
        </w:tc>
      </w:tr>
      <w:tr>
        <w:tc>
          <w:tcPr>
            <w:tcW w:type="dxa" w:w="4320"/>
          </w:tcPr>
          <w:p>
            <w:r>
              <w:t>STTANK_OUT</w:t>
            </w:r>
          </w:p>
        </w:tc>
        <w:tc>
          <w:tcPr>
            <w:tcW w:type="dxa" w:w="4320"/>
          </w:tcPr>
          <w:p>
            <w:r>
              <w:t>Service Tank Outlet Valve</w:t>
            </w:r>
          </w:p>
        </w:tc>
      </w:tr>
      <w:tr>
        <w:tc>
          <w:tcPr>
            <w:tcW w:type="dxa" w:w="4320"/>
          </w:tcPr>
          <w:p>
            <w:r>
              <w:t>FTANK_IV</w:t>
            </w:r>
          </w:p>
        </w:tc>
        <w:tc>
          <w:tcPr>
            <w:tcW w:type="dxa" w:w="4320"/>
          </w:tcPr>
          <w:p>
            <w:r>
              <w:t>Fuel (Storage) Tank Isolation</w:t>
            </w:r>
          </w:p>
        </w:tc>
      </w:tr>
      <w:tr>
        <w:tc>
          <w:tcPr>
            <w:tcW w:type="dxa" w:w="4320"/>
          </w:tcPr>
          <w:p>
            <w:r>
              <w:t>TRANS_P1</w:t>
            </w:r>
          </w:p>
        </w:tc>
        <w:tc>
          <w:tcPr>
            <w:tcW w:type="dxa" w:w="4320"/>
          </w:tcPr>
          <w:p>
            <w:r>
              <w:t>Transfer Pump 1 Suction Valve</w:t>
            </w:r>
          </w:p>
        </w:tc>
      </w:tr>
      <w:tr>
        <w:tc>
          <w:tcPr>
            <w:tcW w:type="dxa" w:w="4320"/>
          </w:tcPr>
          <w:p>
            <w:r>
              <w:t>TRANS_P1DV</w:t>
            </w:r>
          </w:p>
        </w:tc>
        <w:tc>
          <w:tcPr>
            <w:tcW w:type="dxa" w:w="4320"/>
          </w:tcPr>
          <w:p>
            <w:r>
              <w:t>Transfer Pump 1 Discharge Valve</w:t>
            </w:r>
          </w:p>
        </w:tc>
      </w:tr>
      <w:tr>
        <w:tc>
          <w:tcPr>
            <w:tcW w:type="dxa" w:w="4320"/>
          </w:tcPr>
          <w:p>
            <w:r>
              <w:t>BOOST_P1</w:t>
            </w:r>
          </w:p>
        </w:tc>
        <w:tc>
          <w:tcPr>
            <w:tcW w:type="dxa" w:w="4320"/>
          </w:tcPr>
          <w:p>
            <w:r>
              <w:t>Booster Pump 1 Suction Valve</w:t>
            </w:r>
          </w:p>
        </w:tc>
      </w:tr>
      <w:tr>
        <w:tc>
          <w:tcPr>
            <w:tcW w:type="dxa" w:w="4320"/>
          </w:tcPr>
          <w:p>
            <w:r>
              <w:t>BOOST_P1DV</w:t>
            </w:r>
          </w:p>
        </w:tc>
        <w:tc>
          <w:tcPr>
            <w:tcW w:type="dxa" w:w="4320"/>
          </w:tcPr>
          <w:p>
            <w:r>
              <w:t>Booster Pump 1 Discharge Valve</w:t>
            </w:r>
          </w:p>
        </w:tc>
      </w:tr>
      <w:tr>
        <w:tc>
          <w:tcPr>
            <w:tcW w:type="dxa" w:w="4320"/>
          </w:tcPr>
          <w:p>
            <w:r>
              <w:t>HEATER_IV</w:t>
            </w:r>
          </w:p>
        </w:tc>
        <w:tc>
          <w:tcPr>
            <w:tcW w:type="dxa" w:w="4320"/>
          </w:tcPr>
          <w:p>
            <w:r>
              <w:t>Biofuel Heater Inlet Isolation</w:t>
            </w:r>
          </w:p>
        </w:tc>
      </w:tr>
      <w:tr>
        <w:tc>
          <w:tcPr>
            <w:tcW w:type="dxa" w:w="4320"/>
          </w:tcPr>
          <w:p>
            <w:r>
              <w:t>HEATER_OV</w:t>
            </w:r>
          </w:p>
        </w:tc>
        <w:tc>
          <w:tcPr>
            <w:tcW w:type="dxa" w:w="4320"/>
          </w:tcPr>
          <w:p>
            <w:r>
              <w:t>Biofuel Heater Outlet Isolation</w:t>
            </w:r>
          </w:p>
        </w:tc>
      </w:tr>
      <w:tr>
        <w:tc>
          <w:tcPr>
            <w:tcW w:type="dxa" w:w="4320"/>
          </w:tcPr>
          <w:p>
            <w:r>
              <w:t>FILTER_IV</w:t>
            </w:r>
          </w:p>
        </w:tc>
        <w:tc>
          <w:tcPr>
            <w:tcW w:type="dxa" w:w="4320"/>
          </w:tcPr>
          <w:p>
            <w:r>
              <w:t>Duplex Filter Inlet Valve</w:t>
            </w:r>
          </w:p>
        </w:tc>
      </w:tr>
      <w:tr>
        <w:tc>
          <w:tcPr>
            <w:tcW w:type="dxa" w:w="4320"/>
          </w:tcPr>
          <w:p>
            <w:r>
              <w:t>FILTER_OV</w:t>
            </w:r>
          </w:p>
        </w:tc>
        <w:tc>
          <w:tcPr>
            <w:tcW w:type="dxa" w:w="4320"/>
          </w:tcPr>
          <w:p>
            <w:r>
              <w:t>Duplex Filter Outlet Valve</w:t>
            </w:r>
          </w:p>
        </w:tc>
      </w:tr>
      <w:tr>
        <w:tc>
          <w:tcPr>
            <w:tcW w:type="dxa" w:w="4320"/>
          </w:tcPr>
          <w:p>
            <w:r>
              <w:t>ENG_SUP_V</w:t>
            </w:r>
          </w:p>
        </w:tc>
        <w:tc>
          <w:tcPr>
            <w:tcW w:type="dxa" w:w="4320"/>
          </w:tcPr>
          <w:p>
            <w:r>
              <w:t>Engine Supply Valve</w:t>
            </w:r>
          </w:p>
        </w:tc>
      </w:tr>
      <w:tr>
        <w:tc>
          <w:tcPr>
            <w:tcW w:type="dxa" w:w="4320"/>
          </w:tcPr>
          <w:p>
            <w:r>
              <w:t>RETURN_V</w:t>
            </w:r>
          </w:p>
        </w:tc>
        <w:tc>
          <w:tcPr>
            <w:tcW w:type="dxa" w:w="4320"/>
          </w:tcPr>
          <w:p>
            <w:r>
              <w:t>Fuel Return Line Valve</w:t>
            </w:r>
          </w:p>
        </w:tc>
      </w:tr>
      <w:tr>
        <w:tc>
          <w:tcPr>
            <w:tcW w:type="dxa" w:w="4320"/>
          </w:tcPr>
          <w:p>
            <w:r>
              <w:t>OVRFL_V</w:t>
            </w:r>
          </w:p>
        </w:tc>
        <w:tc>
          <w:tcPr>
            <w:tcW w:type="dxa" w:w="4320"/>
          </w:tcPr>
          <w:p>
            <w:r>
              <w:t>Overflow Return Valve</w:t>
            </w:r>
          </w:p>
        </w:tc>
      </w:tr>
      <w:tr>
        <w:tc>
          <w:tcPr>
            <w:tcW w:type="dxa" w:w="4320"/>
          </w:tcPr>
          <w:p>
            <w:r>
              <w:t>BUNK_IV</w:t>
            </w:r>
          </w:p>
        </w:tc>
        <w:tc>
          <w:tcPr>
            <w:tcW w:type="dxa" w:w="4320"/>
          </w:tcPr>
          <w:p>
            <w:r>
              <w:t>Bunker Hose Connection Isolation</w:t>
            </w:r>
          </w:p>
        </w:tc>
      </w:tr>
      <w:tr>
        <w:tc>
          <w:tcPr>
            <w:tcW w:type="dxa" w:w="4320"/>
          </w:tcPr>
          <w:p>
            <w:r>
              <w:t>BUNK_CHK</w:t>
            </w:r>
          </w:p>
        </w:tc>
        <w:tc>
          <w:tcPr>
            <w:tcW w:type="dxa" w:w="4320"/>
          </w:tcPr>
          <w:p>
            <w:r>
              <w:t>Bunker Check Valve (confirm flow)</w:t>
            </w:r>
          </w:p>
        </w:tc>
      </w:tr>
    </w:tbl>
    <w:p>
      <w:pPr>
        <w:pStyle w:val="Heading1"/>
      </w:pPr>
      <w:r>
        <w:t>5. Training Scenarios</w:t>
      </w:r>
    </w:p>
    <w:p>
      <w:r>
        <w:t>Select a scenario from the modal dialog when the simulator loads. Each scenario has specific learning objectives and a checklist of actions to complete.</w:t>
      </w:r>
    </w:p>
    <w:p>
      <w:pPr>
        <w:pStyle w:val="Heading2"/>
      </w:pPr>
      <w:r>
        <w:t>5.1 NORMAL — B24 BLEND</w:t>
      </w:r>
    </w:p>
    <w:p>
      <w:r>
        <w:t>UCOME FAME blended 24% with VLSFO. Check separator, filter differential, water content. FIFO fuel management.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Verify separator differential &lt; 25%</w:t>
      </w:r>
    </w:p>
    <w:p>
      <w:r>
        <w:rPr>
          <w:b/>
        </w:rPr>
        <w:t xml:space="preserve">Step 2: </w:t>
      </w:r>
      <w:r>
        <w:t>Check filter DP &lt; 20%</w:t>
      </w:r>
    </w:p>
    <w:p>
      <w:r>
        <w:rPr>
          <w:b/>
        </w:rPr>
        <w:t xml:space="preserve">Step 3: </w:t>
      </w:r>
      <w:r>
        <w:t>Water content &lt; 0.2%</w:t>
      </w:r>
    </w:p>
    <w:p>
      <w:r>
        <w:rPr>
          <w:b/>
        </w:rPr>
        <w:t xml:space="preserve">Step 4: </w:t>
      </w:r>
      <w:r>
        <w:t>Update Fuel Oil Record Book</w:t>
      </w:r>
    </w:p>
    <w:p>
      <w:r>
        <w:rPr>
          <w:b/>
        </w:rPr>
        <w:t xml:space="preserve">Step 5: </w:t>
      </w:r>
      <w:r>
        <w:t>Log CII impact in SEEMP Part 3</w:t>
      </w:r>
    </w:p>
    <w:p>
      <w:pPr>
        <w:pStyle w:val="Heading2"/>
      </w:pPr>
      <w:r>
        <w:t>5.2 CHANGEOVER — VLSFO → B30</w:t>
      </w:r>
    </w:p>
    <w:p>
      <w:r>
        <w:t>Fuel changeover to B30 UCOME blend. Drain, flush, fill procedure. Check compatibility with engine OEM specification.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Verify OEM approves B30 blend</w:t>
      </w:r>
    </w:p>
    <w:p>
      <w:r>
        <w:rPr>
          <w:b/>
        </w:rPr>
        <w:t xml:space="preserve">Step 2: </w:t>
      </w:r>
      <w:r>
        <w:t>Drain service tank — FIFO method</w:t>
      </w:r>
    </w:p>
    <w:p>
      <w:r>
        <w:rPr>
          <w:b/>
        </w:rPr>
        <w:t xml:space="preserve">Step 3: </w:t>
      </w:r>
      <w:r>
        <w:t>Flush fuel lines at low load</w:t>
      </w:r>
    </w:p>
    <w:p>
      <w:r>
        <w:rPr>
          <w:b/>
        </w:rPr>
        <w:t xml:space="preserve">Step 4: </w:t>
      </w:r>
      <w:r>
        <w:t>Load B30 blend — verify quality</w:t>
      </w:r>
    </w:p>
    <w:p>
      <w:r>
        <w:rPr>
          <w:b/>
        </w:rPr>
        <w:t xml:space="preserve">Step 5: </w:t>
      </w:r>
      <w:r>
        <w:t>Monitor filter differential on new blend</w:t>
      </w:r>
    </w:p>
    <w:p>
      <w:pPr>
        <w:pStyle w:val="Heading2"/>
      </w:pPr>
      <w:r>
        <w:t>5.3 FAME COMPATIBILITY ISSUE</w:t>
      </w:r>
    </w:p>
    <w:p>
      <w:r>
        <w:t>FAME solvency dissolving old HFO deposits from tank coating and pipework. Filter blocking. Rubber seals degrading.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filter DP high alarm</w:t>
      </w:r>
    </w:p>
    <w:p>
      <w:r>
        <w:rPr>
          <w:b/>
        </w:rPr>
        <w:t xml:space="preserve">Step 2: </w:t>
      </w:r>
      <w:r>
        <w:t>Clean or replace fuel filter</w:t>
      </w:r>
    </w:p>
    <w:p>
      <w:r>
        <w:rPr>
          <w:b/>
        </w:rPr>
        <w:t xml:space="preserve">Step 3: </w:t>
      </w:r>
      <w:r>
        <w:t>Check rubber gaskets / seals</w:t>
      </w:r>
    </w:p>
    <w:p>
      <w:r>
        <w:rPr>
          <w:b/>
        </w:rPr>
        <w:t xml:space="preserve">Step 4: </w:t>
      </w:r>
      <w:r>
        <w:t>Reduce FAME blend ratio temporarily</w:t>
      </w:r>
    </w:p>
    <w:p>
      <w:r>
        <w:rPr>
          <w:b/>
        </w:rPr>
        <w:t xml:space="preserve">Step 5: </w:t>
      </w:r>
      <w:r>
        <w:t>Contact OEM — check seal compatibility</w:t>
      </w:r>
    </w:p>
    <w:p>
      <w:pPr>
        <w:pStyle w:val="Heading2"/>
      </w:pPr>
      <w:r>
        <w:t>5.4 WATER CONTAMINATION</w:t>
      </w:r>
    </w:p>
    <w:p>
      <w:r>
        <w:t>FAME absorbs water from atmosphere. Tank condensation. Water content rising above limit. Microbial growth risk.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water content alarm</w:t>
      </w:r>
    </w:p>
    <w:p>
      <w:r>
        <w:rPr>
          <w:b/>
        </w:rPr>
        <w:t xml:space="preserve">Step 2: </w:t>
      </w:r>
      <w:r>
        <w:t>Drain water from tank bottom</w:t>
      </w:r>
    </w:p>
    <w:p>
      <w:r>
        <w:rPr>
          <w:b/>
        </w:rPr>
        <w:t xml:space="preserve">Step 3: </w:t>
      </w:r>
      <w:r>
        <w:t>Treat fuel with biocide</w:t>
      </w:r>
    </w:p>
    <w:p>
      <w:r>
        <w:rPr>
          <w:b/>
        </w:rPr>
        <w:t xml:space="preserve">Step 4: </w:t>
      </w:r>
      <w:r>
        <w:t>Increase separator frequency</w:t>
      </w:r>
    </w:p>
    <w:p>
      <w:r>
        <w:rPr>
          <w:b/>
        </w:rPr>
        <w:t xml:space="preserve">Step 5: </w:t>
      </w:r>
      <w:r>
        <w:t>Test fuel after treatment — confirm &lt; 0.2%</w:t>
      </w:r>
    </w:p>
    <w:p>
      <w:pPr>
        <w:pStyle w:val="Heading2"/>
      </w:pPr>
      <w:r>
        <w:t>5.5 CII COMPLIANCE ASSESSMENT</w:t>
      </w:r>
    </w:p>
    <w:p>
      <w:r>
        <w:t>Annual CII rating assessment. Biofuel blend improves CII. Calculate emissions with MEPC.1/Circ.905 methodology.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Compile annual fuel consumption records</w:t>
      </w:r>
    </w:p>
    <w:p>
      <w:r>
        <w:rPr>
          <w:b/>
        </w:rPr>
        <w:t xml:space="preserve">Step 2: </w:t>
      </w:r>
      <w:r>
        <w:t>Apply Cf factor for certified biofuel</w:t>
      </w:r>
    </w:p>
    <w:p>
      <w:r>
        <w:rPr>
          <w:b/>
        </w:rPr>
        <w:t xml:space="preserve">Step 3: </w:t>
      </w:r>
      <w:r>
        <w:t>Calculate CII — compare to required</w:t>
      </w:r>
    </w:p>
    <w:p>
      <w:r>
        <w:rPr>
          <w:b/>
        </w:rPr>
        <w:t xml:space="preserve">Step 4: </w:t>
      </w:r>
      <w:r>
        <w:t>Update SEEMP Part 3 targets</w:t>
      </w:r>
    </w:p>
    <w:p>
      <w:r>
        <w:rPr>
          <w:b/>
        </w:rPr>
        <w:t xml:space="preserve">Step 5: </w:t>
      </w:r>
      <w:r>
        <w:t>Report to flag administration</w:t>
      </w:r>
    </w:p>
    <w:p>
      <w:pPr>
        <w:pStyle w:val="Heading2"/>
      </w:pPr>
      <w:r>
        <w:t>5.6 BIOFUEL BUNKERING — UCOME</w:t>
      </w:r>
    </w:p>
    <w:p>
      <w:r>
        <w:t>Receiving UCOME FAME blend. Verify ISCC sustainability certificate. Check MSDS. Tank coating compatibility before loading.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Verify ISCC-EU certification</w:t>
      </w:r>
    </w:p>
    <w:p>
      <w:r>
        <w:rPr>
          <w:b/>
        </w:rPr>
        <w:t xml:space="preserve">Step 2: </w:t>
      </w:r>
      <w:r>
        <w:t>Check MSDS — confirm biofuel spec</w:t>
      </w:r>
    </w:p>
    <w:p>
      <w:r>
        <w:rPr>
          <w:b/>
        </w:rPr>
        <w:t xml:space="preserve">Step 3: </w:t>
      </w:r>
      <w:r>
        <w:t>Inspect tank coating compatibility</w:t>
      </w:r>
    </w:p>
    <w:p>
      <w:r>
        <w:rPr>
          <w:b/>
        </w:rPr>
        <w:t xml:space="preserve">Step 4: </w:t>
      </w:r>
      <w:r>
        <w:t>Agree blend ratio with supplier</w:t>
      </w:r>
    </w:p>
    <w:p>
      <w:r>
        <w:rPr>
          <w:b/>
        </w:rPr>
        <w:t xml:space="preserve">Step 5: </w:t>
      </w:r>
      <w:r>
        <w:t>Monitor bunkering — no FAME near drains</w:t>
      </w:r>
    </w:p>
    <w:p>
      <w:r>
        <w:rPr>
          <w:b/>
        </w:rPr>
        <w:t xml:space="preserve">Step 6: </w:t>
      </w:r>
      <w:r>
        <w:t>Update Bunker Delivery Note with Cf factor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01 Biofuel Regulatory Reference</w:t>
      </w:r>
    </w:p>
    <w:p>
      <w:pPr>
        <w:pStyle w:val="Heading2"/>
      </w:pPr>
      <w:r>
        <w:t>Biofuel Ship Simulator — Regulatory Reference</w:t>
      </w:r>
    </w:p>
    <w:p>
      <w:pPr>
        <w:pStyle w:val="Heading3"/>
      </w:pPr>
      <w:r>
        <w:t>MARPOL Annex VI · MEPC.1/Circ.905 · MEPC 83 (April 2025) · CII Framework</w:t>
      </w:r>
    </w:p>
    <w:p>
      <w:r>
        <w:t>Primary regulations: MARPOL Annex VI (NOx, SOx, CII), MEPC.1/Circ.905 (biofuel CII methodology)</w:t>
      </w:r>
    </w:p>
    <w:p>
      <w:r>
        <w:t>Latest update: MEPC 83 (April 2025) — B30 approved without additional NOx testing; MEPC.1/Circ.917 (biofuel blends on bunker ships up to B30)</w:t>
      </w:r>
    </w:p>
    <w:p>
      <w:r>
        <w:t>Biofuels in service: HVO and FAME currently most deployed; B100 UCOME now commercially operational</w:t>
      </w:r>
    </w:p>
    <w:p>
      <w:r>
        <w:t>Unique position: Drop-in capability — no new engine required for HVO; minimal modifications for FAME blends</w:t>
      </w:r>
    </w:p>
    <w:p>
      <w:r>
        <w:t>---</w:t>
      </w:r>
    </w:p>
    <w:p>
      <w:pPr>
        <w:pStyle w:val="Heading3"/>
      </w:pPr>
      <w:r>
        <w:t>1. Types of Marine Biofuels</w:t>
      </w:r>
    </w:p>
    <w:p>
      <w:r>
        <w:t>| Type | Description | Engine Mod | GHG Reduction (WtW) |</w:t>
      </w:r>
    </w:p>
    <w:p>
      <w:r>
        <w:t>|------|-------------|-----------|---------------------|</w:t>
      </w:r>
    </w:p>
    <w:p>
      <w:r>
        <w:t>| **HVO** (Hydrotreated Vegetable Oil) | Vegetable oils/animal fats + hydrotreating | None (true drop-in) | 50–90% |</w:t>
      </w:r>
    </w:p>
    <w:p>
      <w:r>
        <w:t>| **UCOME** (Used Cooking Oil Methyl Ester) | UCO transesterification = FAME | Minimal (seal check) | 65–84% |</w:t>
      </w:r>
    </w:p>
    <w:p>
      <w:r>
        <w:t>| **POME ME** (Palm Oil Mill Effluent ME) | Palm industry residue = FAME | Minimal | 60–75% |</w:t>
      </w:r>
    </w:p>
    <w:p>
      <w:r>
        <w:t>| **B100 FAME** | 100% fatty acid methyl ester | Seal compatibility check | Up to 84% |</w:t>
      </w:r>
    </w:p>
    <w:p>
      <w:r>
        <w:t>| **Bio-LNG** | Biomethane liquefied | Same as LNG | Up to 90% |</w:t>
      </w:r>
    </w:p>
    <w:p>
      <w:r>
        <w:t>| **Bio-methanol** | Renewable methanol | Same as CH₃OH | Up to 95% |</w:t>
      </w:r>
    </w:p>
    <w:p>
      <w:r>
        <w:t>HVO and FAME (UCOME being most common) are the primary commercially deployed marine biofuels as of 2025.</w:t>
      </w:r>
    </w:p>
    <w:p>
      <w:r>
        <w:t>---</w:t>
      </w:r>
    </w:p>
    <w:p>
      <w:pPr>
        <w:pStyle w:val="Heading3"/>
      </w:pPr>
      <w:r>
        <w:t>2. CII Framework (MARPOL Annex VI, Regulation 28)</w:t>
      </w:r>
    </w:p>
    <w:p>
      <w:pPr>
        <w:pStyle w:val="Heading4"/>
      </w:pPr>
      <w:r>
        <w:t>CII Ratings</w:t>
      </w:r>
    </w:p>
    <w:p>
      <w:r>
        <w:t>Ships are rated A–E on Carbon Intensity Indicator annually:</w:t>
      </w:r>
    </w:p>
    <w:p>
      <w:pPr>
        <w:pStyle w:val="ListBullet"/>
        <w:spacing w:after="40"/>
      </w:pPr>
      <w:r>
        <w:t>**A:** ≥ 15% below required CII</w:t>
      </w:r>
    </w:p>
    <w:p>
      <w:pPr>
        <w:pStyle w:val="ListBullet"/>
        <w:spacing w:after="40"/>
      </w:pPr>
      <w:r>
        <w:t>**B:** 5–15% below required CII</w:t>
      </w:r>
    </w:p>
    <w:p>
      <w:pPr>
        <w:pStyle w:val="ListBullet"/>
        <w:spacing w:after="40"/>
      </w:pPr>
      <w:r>
        <w:t>**C:** 5% above to 5% below required CII</w:t>
      </w:r>
    </w:p>
    <w:p>
      <w:pPr>
        <w:pStyle w:val="ListBullet"/>
        <w:spacing w:after="40"/>
      </w:pPr>
      <w:r>
        <w:t>**D:** 5–15% above required CII</w:t>
      </w:r>
    </w:p>
    <w:p>
      <w:pPr>
        <w:pStyle w:val="ListBullet"/>
        <w:spacing w:after="40"/>
      </w:pPr>
      <w:r>
        <w:t>**E:** ≥ 15% above required CII (requires corrective action plan)</w:t>
      </w:r>
    </w:p>
    <w:p>
      <w:r>
        <w:t>Required CII reduces each year — 5% stricter annually through 2026, then further reductions TBD.</w:t>
      </w:r>
    </w:p>
    <w:p>
      <w:pPr>
        <w:pStyle w:val="Heading4"/>
      </w:pPr>
      <w:r>
        <w:t>Biofuel Impact on CII (per MEPC.1/Circ.905)</w:t>
      </w:r>
    </w:p>
    <w:p>
      <w:r>
        <w:t>Certified biofuels that achieve WtW GHG reduction ≥ 65% compared to fossil reference:</w:t>
      </w:r>
    </w:p>
    <w:p>
      <w:pPr>
        <w:pStyle w:val="ListBullet"/>
        <w:spacing w:after="40"/>
      </w:pPr>
      <w:r>
        <w:t>**Cf factor = 0** (treated as zero-emission for CII calculation)</w:t>
      </w:r>
    </w:p>
    <w:p>
      <w:pPr>
        <w:pStyle w:val="ListBullet"/>
        <w:spacing w:after="40"/>
      </w:pPr>
      <w:r>
        <w:t>This can move a vessel from D or E rating to C or better</w:t>
      </w:r>
    </w:p>
    <w:p>
      <w:pPr>
        <w:pStyle w:val="ListBullet"/>
        <w:spacing w:after="40"/>
      </w:pPr>
      <w:r>
        <w:t>Must be certified by an approved scheme (ISCC-EU, RSB, etc.)</w:t>
      </w:r>
    </w:p>
    <w:p>
      <w:r>
        <w:t>CII calculation:</w:t>
      </w:r>
    </w:p>
    <w:p>
      <w:r>
        <w:t>```</w:t>
      </w:r>
    </w:p>
    <w:p>
      <w:r>
        <w:t>CII = Total CO₂ emitted / (Distance × Deadweight)</w:t>
      </w:r>
    </w:p>
    <w:p>
      <w:r>
        <w:t>CO₂ = Fuel consumption × Cf</w:t>
      </w:r>
    </w:p>
    <w:p>
      <w:r>
        <w:t>For certified biofuel at ≥ 65% WtW reduction: Cf = 0</w:t>
      </w:r>
    </w:p>
    <w:p>
      <w:r>
        <w:t>```</w:t>
      </w:r>
    </w:p>
    <w:p>
      <w:pPr>
        <w:pStyle w:val="Heading4"/>
      </w:pPr>
      <w:r>
        <w:t>MEPC 83 (April 2025) Update</w:t>
      </w:r>
    </w:p>
    <w:p>
      <w:pPr>
        <w:pStyle w:val="ListBullet"/>
        <w:spacing w:after="40"/>
      </w:pPr>
      <w:r>
        <w:t>**B30 approved** without additional NOx emission testing under MARPOL Annex VI</w:t>
      </w:r>
    </w:p>
    <w:p>
      <w:pPr>
        <w:pStyle w:val="ListBullet"/>
        <w:spacing w:after="40"/>
      </w:pPr>
      <w:r>
        <w:t>Before MEPC 83: NOx retesting required for blends &gt; 30% — now waived for B30</w:t>
      </w:r>
    </w:p>
    <w:p>
      <w:pPr>
        <w:pStyle w:val="ListBullet"/>
        <w:spacing w:after="40"/>
      </w:pPr>
      <w:r>
        <w:t>Biofuel blends up to B30 treated same as conventional petroleum fuels for NOx compliance</w:t>
      </w:r>
    </w:p>
    <w:p>
      <w:r>
        <w:t>---</w:t>
      </w:r>
    </w:p>
    <w:p>
      <w:pPr>
        <w:pStyle w:val="Heading3"/>
      </w:pPr>
      <w:r>
        <w:t>3. FAME-Specific Handling Issues</w:t>
      </w:r>
    </w:p>
    <w:p>
      <w:r>
        <w:t>FAME (Fatty Acid Methyl Esters) has unique handling characteristics that require specific crew training — very different from HVO which behaves like conventional diesel.</w:t>
      </w:r>
    </w:p>
    <w:p>
      <w:pPr>
        <w:pStyle w:val="Heading4"/>
      </w:pPr>
      <w:r>
        <w:t>3.1 Material Compatibility</w:t>
      </w:r>
    </w:p>
    <w:p>
      <w:r>
        <w:t>FAME is a solvent and reacts with certain materials:</w:t>
      </w:r>
    </w:p>
    <w:p>
      <w:r>
        <w:t>| Material | Compatibility | Action |</w:t>
      </w:r>
    </w:p>
    <w:p>
      <w:r>
        <w:t>|----------|---------------|--------|</w:t>
      </w:r>
    </w:p>
    <w:p>
      <w:r>
        <w:t>| Nitrile rubber (NBR) gaskets | **INCOMPATIBLE** — degrades | Replace with EPDM or fluorocarbon |</w:t>
      </w:r>
    </w:p>
    <w:p>
      <w:r>
        <w:t>| Natural rubber hoses | INCOMPATIBLE | Replace with synthetic rubber |</w:t>
      </w:r>
    </w:p>
    <w:p>
      <w:r>
        <w:t>| Copper/brass fittings | INCOMPATIBLE — FAME corrodes | Stainless steel only |</w:t>
      </w:r>
    </w:p>
    <w:p>
      <w:r>
        <w:t>| Zinc/lead components | INCOMPATIBLE | Stainless steel |</w:t>
      </w:r>
    </w:p>
    <w:p>
      <w:r>
        <w:t>| Epoxy tank coatings | Check with manufacturer | Most modern coatings OK |</w:t>
      </w:r>
    </w:p>
    <w:p>
      <w:r>
        <w:t>| Carbon steel pipes | Check lubricity | Generally compatible |</w:t>
      </w:r>
    </w:p>
    <w:p>
      <w:pPr>
        <w:pStyle w:val="Heading4"/>
      </w:pPr>
      <w:r>
        <w:t>3.2 Cold Flow Properties</w:t>
      </w:r>
    </w:p>
    <w:p>
      <w:pPr>
        <w:pStyle w:val="ListBullet"/>
        <w:spacing w:after="40"/>
      </w:pPr>
      <w:r>
        <w:t>FAME has a higher **Cloud Point** and **Pour Point** than conventional fuel</w:t>
      </w:r>
    </w:p>
    <w:p>
      <w:pPr>
        <w:pStyle w:val="ListBullet"/>
        <w:spacing w:after="40"/>
      </w:pPr>
      <w:r>
        <w:t>UCOME Cloud Point: typically 0 to −5°C</w:t>
      </w:r>
    </w:p>
    <w:p>
      <w:pPr>
        <w:pStyle w:val="ListBullet"/>
        <w:spacing w:after="40"/>
      </w:pPr>
      <w:r>
        <w:t>In cold climates: blend FAME with HVO or use trace heating on fuel lines</w:t>
      </w:r>
    </w:p>
    <w:p>
      <w:pPr>
        <w:pStyle w:val="ListBullet"/>
        <w:spacing w:after="40"/>
      </w:pPr>
      <w:r>
        <w:t>**B100 FAME in Arctic conditions:** Not recommended without heating systems</w:t>
      </w:r>
    </w:p>
    <w:p>
      <w:pPr>
        <w:pStyle w:val="ListBullet"/>
        <w:spacing w:after="40"/>
      </w:pPr>
      <w:r>
        <w:t>Cold filter plugging point (CFPP) must be verified for port of operation</w:t>
      </w:r>
    </w:p>
    <w:p>
      <w:pPr>
        <w:pStyle w:val="Heading4"/>
      </w:pPr>
      <w:r>
        <w:t>3.3 Water Absorption</w:t>
      </w:r>
    </w:p>
    <w:p>
      <w:r>
        <w:t>FAME is hygroscopic — absorbs water from atmosphere:</w:t>
      </w:r>
    </w:p>
    <w:p>
      <w:r>
        <w:t>| Water Level | Status | Action |</w:t>
      </w:r>
    </w:p>
    <w:p>
      <w:r>
        <w:t>|-------------|--------|--------|</w:t>
      </w:r>
    </w:p>
    <w:p>
      <w:r>
        <w:t>| &lt; 0.2% vol | Normal | Monitor |</w:t>
      </w:r>
    </w:p>
    <w:p>
      <w:r>
        <w:t>| 0.2–0.5% vol | Warning | Increase separator frequency, check drains |</w:t>
      </w:r>
    </w:p>
    <w:p>
      <w:r>
        <w:t>| &gt; 0.5% vol | Critical | Drain tank, treat with biocide |</w:t>
      </w:r>
    </w:p>
    <w:p>
      <w:r>
        <w:t>Water in FAME promotes:</w:t>
      </w:r>
    </w:p>
    <w:p>
      <w:pPr>
        <w:pStyle w:val="ListBullet"/>
        <w:spacing w:after="40"/>
      </w:pPr>
      <w:r>
        <w:t>**Microbial growth** (bacteria, fungi) — creates slime and blocks filters</w:t>
      </w:r>
    </w:p>
    <w:p>
      <w:pPr>
        <w:pStyle w:val="ListBullet"/>
        <w:spacing w:after="40"/>
      </w:pPr>
      <w:r>
        <w:t>**Hydrolysis** — breaks down FAME, increases acid number</w:t>
      </w:r>
    </w:p>
    <w:p>
      <w:pPr>
        <w:pStyle w:val="ListBullet"/>
        <w:spacing w:after="40"/>
      </w:pPr>
      <w:r>
        <w:t>**Corrosion** of steel components</w:t>
      </w:r>
    </w:p>
    <w:p>
      <w:pPr>
        <w:pStyle w:val="Heading4"/>
      </w:pPr>
      <w:r>
        <w:t>3.4 Solvency Effect (Filter Fouling)</w:t>
      </w:r>
    </w:p>
    <w:p>
      <w:r>
        <w:t>FAME acts as a powerful cleaning solvent:</w:t>
      </w:r>
    </w:p>
    <w:p>
      <w:pPr>
        <w:pStyle w:val="ListBullet"/>
        <w:spacing w:after="40"/>
      </w:pPr>
      <w:r>
        <w:t>When introduced to fuel systems that have previously run on HFO/VLSFO, FAME dissolves old tank deposits and pipe scale</w:t>
      </w:r>
    </w:p>
    <w:p>
      <w:pPr>
        <w:pStyle w:val="ListBullet"/>
        <w:spacing w:after="40"/>
      </w:pPr>
      <w:r>
        <w:t>These deposits clog filters rapidly in the first few days on FAME</w:t>
      </w:r>
    </w:p>
    <w:p>
      <w:pPr>
        <w:pStyle w:val="ListBullet"/>
        <w:spacing w:after="40"/>
      </w:pPr>
      <w:r>
        <w:t>**First load of FAME:** Expect more frequent filter cleaning for 2–4 days</w:t>
      </w:r>
    </w:p>
    <w:p>
      <w:pPr>
        <w:pStyle w:val="ListBullet"/>
        <w:spacing w:after="40"/>
      </w:pPr>
      <w:r>
        <w:t>Carry spare filter elements when loading FAME for the first time</w:t>
      </w:r>
    </w:p>
    <w:p>
      <w:pPr>
        <w:pStyle w:val="Heading4"/>
      </w:pPr>
      <w:r>
        <w:t>3.5 Oxidation Stability</w:t>
      </w:r>
    </w:p>
    <w:p>
      <w:r>
        <w:t>FAME oxidises faster than conventional fuel during storage:</w:t>
      </w:r>
    </w:p>
    <w:p>
      <w:pPr>
        <w:pStyle w:val="ListBullet"/>
        <w:spacing w:after="40"/>
      </w:pPr>
      <w:r>
        <w:t>Maximum storage before quality degrades: **6 months**</w:t>
      </w:r>
    </w:p>
    <w:p>
      <w:pPr>
        <w:pStyle w:val="ListBullet"/>
        <w:spacing w:after="40"/>
      </w:pPr>
      <w:r>
        <w:t>After 6 months: acid number rises, gum deposits form</w:t>
      </w:r>
    </w:p>
    <w:p>
      <w:pPr>
        <w:pStyle w:val="ListBullet"/>
        <w:spacing w:after="40"/>
      </w:pPr>
      <w:r>
        <w:t>**First-In, First-Out (FIFO)** method mandatory</w:t>
      </w:r>
    </w:p>
    <w:p>
      <w:pPr>
        <w:pStyle w:val="ListBullet"/>
        <w:spacing w:after="40"/>
      </w:pPr>
      <w:r>
        <w:t>If stored &gt; 6 months: retest fuel before use</w:t>
      </w:r>
    </w:p>
    <w:p>
      <w:pPr>
        <w:pStyle w:val="ListBullet"/>
        <w:spacing w:after="40"/>
      </w:pPr>
      <w:r>
        <w:t>Antioxidant additives can extend stability</w:t>
      </w:r>
    </w:p>
    <w:p>
      <w:r>
        <w:t>---</w:t>
      </w:r>
    </w:p>
    <w:p>
      <w:pPr>
        <w:pStyle w:val="Heading3"/>
      </w:pPr>
      <w:r>
        <w:t>4. Fuel Changeover Procedure</w:t>
      </w:r>
    </w:p>
    <w:p>
      <w:r>
        <w:t>When changing from conventional fuel to FAME-based biofuel blend:</w:t>
      </w:r>
    </w:p>
    <w:p>
      <w:r>
        <w:t>1. Verify OEM compatibility — check engine manufacturer's approval for the intended blend ratio (B10, B24, B30, B100)</w:t>
      </w:r>
    </w:p>
    <w:p>
      <w:r>
        <w:t>2. Drain service tank — remove as much fossil fuel as practical</w:t>
      </w:r>
    </w:p>
    <w:p>
      <w:r>
        <w:t>3. Clean service tank — if switching to high blend ratios (&gt; B50), clean tank of old deposits</w:t>
      </w:r>
    </w:p>
    <w:p>
      <w:r>
        <w:t>4. Prepare receiving tank — check coating compatibility</w:t>
      </w:r>
    </w:p>
    <w:p>
      <w:r>
        <w:t>5. Load biofuel blend — verify quality certificate (ISCC or equivalent)</w:t>
      </w:r>
    </w:p>
    <w:p>
      <w:r>
        <w:t>6. Flush fuel lines — operate at low load, monitor filter differential pressure</w:t>
      </w:r>
    </w:p>
    <w:p>
      <w:r>
        <w:t>7. Inspect filters — change elements as needed during solvency cleaning period</w:t>
      </w:r>
    </w:p>
    <w:p>
      <w:r>
        <w:t>8. Document in SMS — fuel changeover plan must be in SMS per ISM Code</w:t>
      </w:r>
    </w:p>
    <w:p>
      <w:r>
        <w:t>9. Update SEEMP Part 3 — record biofuel consumption for CII reporting</w:t>
      </w:r>
    </w:p>
    <w:p>
      <w:r>
        <w:t>Emergency generators and lifeboat engines:</w:t>
      </w:r>
    </w:p>
    <w:p>
      <w:r>
        <w:t>FAME NOT recommended for long-term storage in emergency generators, lifeboat engines, or diesel-driven fire pumps. These must remain on conventional fuel due to:</w:t>
      </w:r>
    </w:p>
    <w:p>
      <w:pPr>
        <w:pStyle w:val="ListBullet"/>
        <w:spacing w:after="40"/>
      </w:pPr>
      <w:r>
        <w:t>Long standby periods (water absorption risk)</w:t>
      </w:r>
    </w:p>
    <w:p>
      <w:pPr>
        <w:pStyle w:val="ListBullet"/>
        <w:spacing w:after="40"/>
      </w:pPr>
      <w:r>
        <w:t>Critical safety function</w:t>
      </w:r>
    </w:p>
    <w:p>
      <w:pPr>
        <w:pStyle w:val="ListBullet"/>
        <w:spacing w:after="40"/>
      </w:pPr>
      <w:r>
        <w:t>Cold climate performance uncertainty</w:t>
      </w:r>
    </w:p>
    <w:p>
      <w:r>
        <w:t>---</w:t>
      </w:r>
    </w:p>
    <w:p>
      <w:pPr>
        <w:pStyle w:val="Heading3"/>
      </w:pPr>
      <w:r>
        <w:t>5. Bunkering Requirements</w:t>
      </w:r>
    </w:p>
    <w:p>
      <w:pPr>
        <w:pStyle w:val="Heading4"/>
      </w:pPr>
      <w:r>
        <w:t>Biofuel Bunkering Checklist</w:t>
      </w:r>
    </w:p>
    <w:p>
      <w:pPr>
        <w:pStyle w:val="ListBullet"/>
        <w:spacing w:after="40"/>
      </w:pPr>
      <w:r>
        <w:t>[ ] Verify sustainability certification (ISCC-EU, RSPO, RSB, or equivalent)</w:t>
      </w:r>
    </w:p>
    <w:p>
      <w:pPr>
        <w:pStyle w:val="ListBullet"/>
        <w:spacing w:after="40"/>
      </w:pPr>
      <w:r>
        <w:t>[ ] Confirm WtW GHG reduction ≥ 65% (for Cf = 0 in CII calculation)</w:t>
      </w:r>
    </w:p>
    <w:p>
      <w:pPr>
        <w:pStyle w:val="ListBullet"/>
        <w:spacing w:after="40"/>
      </w:pPr>
      <w:r>
        <w:t>[ ] Check MSDS (Material Safety Data Sheet) per SOLAS Chapter VI Reg. 5-1</w:t>
      </w:r>
    </w:p>
    <w:p>
      <w:pPr>
        <w:pStyle w:val="ListBullet"/>
        <w:spacing w:after="40"/>
      </w:pPr>
      <w:r>
        <w:t>[ ] Verify tank coating compatibility before loading</w:t>
      </w:r>
    </w:p>
    <w:p>
      <w:pPr>
        <w:pStyle w:val="ListBullet"/>
        <w:spacing w:after="40"/>
      </w:pPr>
      <w:r>
        <w:t>[ ] Check flashpoint ≥ 60°C (SOLAS minimum) — FAME flashpoint typically 101°C+ ✓</w:t>
      </w:r>
    </w:p>
    <w:p>
      <w:pPr>
        <w:pStyle w:val="ListBullet"/>
        <w:spacing w:after="40"/>
      </w:pPr>
      <w:r>
        <w:t>[ ] Agree blend ratio — ensure supplier FAME content matches specification</w:t>
      </w:r>
    </w:p>
    <w:p>
      <w:pPr>
        <w:pStyle w:val="ListBullet"/>
        <w:spacing w:after="40"/>
      </w:pPr>
      <w:r>
        <w:t>[ ] No FAME within 3 metres of deck drains — water-miscible characteristics mean spills spread</w:t>
      </w:r>
    </w:p>
    <w:p>
      <w:pPr>
        <w:pStyle w:val="ListBullet"/>
        <w:spacing w:after="40"/>
      </w:pPr>
      <w:r>
        <w:t>[ ] Update Bunker Delivery Note with biofuel content and Cf factor</w:t>
      </w:r>
    </w:p>
    <w:p>
      <w:pPr>
        <w:pStyle w:val="Heading4"/>
      </w:pPr>
      <w:r>
        <w:t>MARPOL limits on bunkering vessels:</w:t>
      </w:r>
    </w:p>
    <w:p>
      <w:pPr>
        <w:pStyle w:val="ListBullet"/>
        <w:spacing w:after="40"/>
      </w:pPr>
      <w:r>
        <w:t>**MARPOL Annex II**: no more than 25% FAME in bunker ship cargo tank (unless IMO Type II tanker)</w:t>
      </w:r>
    </w:p>
    <w:p>
      <w:pPr>
        <w:pStyle w:val="ListBullet"/>
        <w:spacing w:after="40"/>
      </w:pPr>
      <w:r>
        <w:t>**MEPC.1/Circ.917 (June 2025)**: B30 allowed on conventional bunker ships — significant regulatory improvement</w:t>
      </w:r>
    </w:p>
    <w:p>
      <w:pPr>
        <w:pStyle w:val="ListBullet"/>
        <w:spacing w:after="40"/>
      </w:pPr>
      <w:r>
        <w:t>Singapore port: first major hub to implement B30 rule (March 2025)</w:t>
      </w:r>
    </w:p>
    <w:p>
      <w:r>
        <w:t>---</w:t>
      </w:r>
    </w:p>
    <w:p>
      <w:pPr>
        <w:pStyle w:val="Heading3"/>
      </w:pPr>
      <w:r>
        <w:t>6. Comparison with Other Simulators</w:t>
      </w:r>
    </w:p>
    <w:p>
      <w:r>
        <w:t>| Feature | Biofuel | LNG | CH₃OH | NH₃ |</w:t>
      </w:r>
    </w:p>
    <w:p>
      <w:r>
        <w:t>|---------|---------|-----|-------|-----|</w:t>
      </w:r>
    </w:p>
    <w:p>
      <w:r>
        <w:t>| Hazard level | **Low** (drop-in) | High (cryogenic) | High (fire/invisible) | Very High (toxic) |</w:t>
      </w:r>
    </w:p>
    <w:p>
      <w:r>
        <w:t>| Engine modification | None (HVO) / minimal (FAME) | Major (dual-fuel) | Major | Major |</w:t>
      </w:r>
    </w:p>
    <w:p>
      <w:r>
        <w:t>| Training focus | Fuel quality, CII, FAME compatibility | BOG, cold burns | Invisible fire, inerting | IDLH, ESD |</w:t>
      </w:r>
    </w:p>
    <w:p>
      <w:r>
        <w:t>| IMO standard | MARPOL + MEPC.1/Circ.905 | IGF Code | MSC.1/Circ.1621 | MSC.1/Circ.1687 |</w:t>
      </w:r>
    </w:p>
    <w:p>
      <w:r>
        <w:t>| GHG reduction | Up to 84% (certified UCOME) | ~22% fossil LNG | 0% (grey) / 95% (green) | 0% (grey) / 100% (green) |</w:t>
      </w:r>
    </w:p>
    <w:p>
      <w:r>
        <w:t>| Infrastructure | Existing ports (mostly) | Specialised LNG ports | Limited methanol ports | Very limited |</w:t>
      </w:r>
    </w:p>
    <w:p>
      <w:r>
        <w:t>| Ships in service | Many (blended) | 1,860+ fleet | 59 ships (May 2025) | Demo vessels only |</w:t>
      </w:r>
    </w:p>
    <w:p>
      <w:r>
        <w:t>---</w:t>
      </w:r>
    </w:p>
    <w:p>
      <w:pPr>
        <w:pStyle w:val="Heading3"/>
      </w:pPr>
      <w:r>
        <w:t>7. Sources</w:t>
      </w:r>
    </w:p>
    <w:p>
      <w:r>
        <w:t>1. MARPOL Annex VI — NOx, SOx, CII regulations. IMO</w:t>
      </w:r>
    </w:p>
    <w:p>
      <w:r>
        <w:t>2. MEPC.1/Circ.905 — Interim guidance on use of biofuels under MARPOL Annex VI regulations 26, 27, 28. IMO</w:t>
      </w:r>
    </w:p>
    <w:p>
      <w:r>
        <w:t>3. MEPC.1/Circ.917 — Interim guidance: biofuel blends on conventional bunker ships (June 2025). IBIA, safety4sea</w:t>
      </w:r>
    </w:p>
    <w:p>
      <w:r>
        <w:t>4. MEPC 83 outcomes (April 2025) — B30 without NOx retesting approved. OFI Magazine, IBIA</w:t>
      </w:r>
    </w:p>
    <w:p>
      <w:r>
        <w:t>5. ABS Regulatory News — Biofuels as Marine Fuel (Jan 2024). eagle.org</w:t>
      </w:r>
    </w:p>
    <w:p>
      <w:r>
        <w:t>6. DNV — "Use of biofuels in international shipping" (2023). dnv.com</w:t>
      </w:r>
    </w:p>
    <w:p>
      <w:r>
        <w:t>7. Vitol — "Biofuels in maritime transportation" (April 2025). vitol.com</w:t>
      </w:r>
    </w:p>
    <w:p>
      <w:r>
        <w:t>8. CIMAC Guideline — Marine fuels containing FAME (04/2024). cimac.com</w:t>
      </w:r>
    </w:p>
    <w:p>
      <w:r>
        <w:t>9. IRClass — Guidelines on Use of Biofuels on Ships (December 2023). irclass.org</w:t>
      </w:r>
    </w:p>
    <w:p>
      <w:r>
        <w:t>10. Lloyd's Register — Biofuel availability and quality tool, Fuel for Thought: Biofuel report (2024). lr.org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