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Incinerator Operation Simulator</w:t>
      </w:r>
    </w:p>
    <w:p>
      <w:pPr>
        <w:jc w:val="center"/>
      </w:pPr>
      <w:r>
        <w:rPr>
          <w:color w:val="646464"/>
          <w:sz w:val="24"/>
        </w:rPr>
        <w:t>Engine Room Equipment</w:t>
      </w:r>
    </w:p>
    <w:p>
      <w:pPr>
        <w:jc w:val="center"/>
      </w:pPr>
      <w:r>
        <w:rPr>
          <w:color w:val="505050"/>
          <w:sz w:val="20"/>
        </w:rPr>
        <w:t>Marine incinerator operations for solid waste and sludge oil disposal per MARPOL Annex V, Annex I and IMO MEPC.76(40).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Marine incinerator operations for solid waste and sludge oil disposal per MARPOL Annex V, Annex I and IMO MEPC.76(40).</w:t>
      </w:r>
    </w:p>
    <w:p>
      <w:pPr>
        <w:pStyle w:val="Heading2"/>
      </w:pPr>
      <w:r>
        <w:t>Key Features</w:t>
      </w:r>
    </w:p>
    <w:p>
      <w:pPr>
        <w:pStyle w:val="ListBullet"/>
      </w:pPr>
      <w:r>
        <w:t>Teamtec OG 200C type incinerator with primary and secondary chamber temperature monitoring.</w:t>
      </w:r>
    </w:p>
    <w:p>
      <w:pPr>
        <w:pStyle w:val="ListBullet"/>
      </w:pPr>
      <w:r>
        <w:t>Sludge oil burner (OWC) and solid waste combustion (SWC) with atomising air system.</w:t>
      </w:r>
    </w:p>
    <w:p>
      <w:pPr>
        <w:pStyle w:val="ListBullet"/>
      </w:pPr>
      <w:r>
        <w:t>Port restriction enforcement — incineration prohibited within port limits per MARPOL.</w:t>
      </w:r>
    </w:p>
    <w:p>
      <w:pPr>
        <w:pStyle w:val="ListBullet"/>
      </w:pPr>
      <w:r>
        <w:t>Garbage Record Book logging with position, category and quantity entries.</w:t>
      </w:r>
    </w:p>
    <w:p>
      <w:pPr>
        <w:pStyle w:val="ListBullet"/>
      </w:pPr>
      <w:r>
        <w:t>Scenarios: Normal Waste Incineration, Low Temperature Fault, Port Restriction Warning.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P&amp;amp;ID SCHEMATIC — INCINERATOR OG 200C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GAUGES &amp;amp;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ACTIVE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PIPELINE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 LOG &amp;amp; GARBAGE RECORD BOOK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CHECKLIST &amp;amp; GRB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SLUDGE INL [C]</w:t>
            </w:r>
          </w:p>
        </w:tc>
      </w:tr>
      <w:tr>
        <w:tc>
          <w:tcPr>
            <w:tcW w:type="dxa" w:w="8640"/>
          </w:tcPr>
          <w:p>
            <w:r>
              <w:t>ATOM AIR [C]</w:t>
            </w:r>
          </w:p>
        </w:tc>
      </w:tr>
      <w:tr>
        <w:tc>
          <w:tcPr>
            <w:tcW w:type="dxa" w:w="8640"/>
          </w:tcPr>
          <w:p>
            <w:r>
              <w:t>COOLING W [C]</w:t>
            </w:r>
          </w:p>
        </w:tc>
      </w:tr>
      <w:tr>
        <w:tc>
          <w:tcPr>
            <w:tcW w:type="dxa" w:w="8640"/>
          </w:tcPr>
          <w:p>
            <w:r>
              <w:t>FLU DAMPER [C]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Incinerator Operation — Technical Reference</w:t>
      </w:r>
    </w:p>
    <w:p>
      <w:pPr>
        <w:pStyle w:val="Heading3"/>
      </w:pPr>
      <w:r>
        <w:t>Regulatory Framework</w:t>
      </w:r>
    </w:p>
    <w:p>
      <w:pPr>
        <w:pStyle w:val="Heading4"/>
      </w:pPr>
      <w:r>
        <w:t>MARPOL Annex I — Oil Pollution Prevention</w:t>
      </w:r>
    </w:p>
    <w:p>
      <w:pPr>
        <w:pStyle w:val="ListBullet"/>
        <w:spacing w:after="40"/>
      </w:pPr>
      <w:r>
        <w:t>**Regulation 13**: Sludge oil must be managed onboard. Incineration is a permitted disposal method.</w:t>
      </w:r>
    </w:p>
    <w:p>
      <w:pPr>
        <w:pStyle w:val="ListBullet"/>
        <w:spacing w:after="40"/>
      </w:pPr>
      <w:r>
        <w:t>Sludge oil (OWC — Oily Waste Category) may be incinerated in approved marine incinerators.</w:t>
      </w:r>
    </w:p>
    <w:p>
      <w:pPr>
        <w:pStyle w:val="ListBullet"/>
        <w:spacing w:after="40"/>
      </w:pPr>
      <w:r>
        <w:t>Incineration of cargo residues of noxious liquid substances is NOT permitted.</w:t>
      </w:r>
    </w:p>
    <w:p>
      <w:pPr>
        <w:pStyle w:val="Heading4"/>
      </w:pPr>
      <w:r>
        <w:t>MARPOL Annex V — Garbage Management</w:t>
      </w:r>
    </w:p>
    <w:p>
      <w:pPr>
        <w:pStyle w:val="ListBullet"/>
        <w:spacing w:after="40"/>
      </w:pPr>
      <w:r>
        <w:t>**Regulation 3**: Prohibits discharge of garbage except where permitted.</w:t>
      </w:r>
    </w:p>
    <w:p>
      <w:pPr>
        <w:pStyle w:val="ListBullet"/>
        <w:spacing w:after="40"/>
      </w:pPr>
      <w:r>
        <w:t>Incineration is an approved method for disposal of solid waste at sea.</w:t>
      </w:r>
    </w:p>
    <w:p>
      <w:pPr>
        <w:pStyle w:val="ListBullet"/>
        <w:spacing w:after="40"/>
      </w:pPr>
      <w:r>
        <w:t>**Cannot operate within port limits** or special areas unless local authority permits.</w:t>
      </w:r>
    </w:p>
    <w:p>
      <w:pPr>
        <w:pStyle w:val="ListBullet"/>
        <w:spacing w:after="40"/>
      </w:pPr>
      <w:r>
        <w:t>Food waste, paper, rags, glass, metal, crockery — all permissible for incineration at sea.</w:t>
      </w:r>
    </w:p>
    <w:p>
      <w:pPr>
        <w:pStyle w:val="Heading4"/>
      </w:pPr>
      <w:r>
        <w:t>IMO MEPC.76(40) — Standard Specification for Shipboard Incinerators</w:t>
      </w:r>
    </w:p>
    <w:p>
      <w:pPr>
        <w:pStyle w:val="ListBullet"/>
        <w:spacing w:after="40"/>
      </w:pPr>
      <w:r>
        <w:t>Adopted 1997; applies to incinerators installed on or after 1 January 2000.</w:t>
      </w:r>
    </w:p>
    <w:p>
      <w:pPr>
        <w:pStyle w:val="ListBullet"/>
        <w:spacing w:after="40"/>
      </w:pPr>
      <w:r>
        <w:t>Requires type approval from flag state administration.</w:t>
      </w:r>
    </w:p>
    <w:p>
      <w:pPr>
        <w:pStyle w:val="ListBullet"/>
        <w:spacing w:after="40"/>
      </w:pPr>
      <w:r>
        <w:t>Prohibits incineration of: PVC, contaminated packaging materials with heavy metals, polychlorinated biphenyls (PCBs), sewage sludge/OWC when underway in port, exhaust gas cleaning residues.</w:t>
      </w:r>
    </w:p>
    <w:p>
      <w:r>
        <w:t>---</w:t>
      </w:r>
    </w:p>
    <w:p>
      <w:pPr>
        <w:pStyle w:val="Heading3"/>
      </w:pPr>
      <w:r>
        <w:t>Equipment: Teamtec OG 200C / Alfa Laval Type</w:t>
      </w:r>
    </w:p>
    <w:p>
      <w:pPr>
        <w:pStyle w:val="Heading4"/>
      </w:pPr>
      <w:r>
        <w:t>Primary Chamber (Solid Waste Combustion — SWC)</w:t>
      </w:r>
    </w:p>
    <w:p>
      <w:r>
        <w:t>| Parameter | Value |</w:t>
      </w:r>
    </w:p>
    <w:p>
      <w:r>
        <w:t>|-----------|-------|</w:t>
      </w:r>
    </w:p>
    <w:p>
      <w:r>
        <w:t>| Operating temperature | 850–1000°C |</w:t>
      </w:r>
    </w:p>
    <w:p>
      <w:r>
        <w:t>| Minimum ignition temperature | 650°C |</w:t>
      </w:r>
    </w:p>
    <w:p>
      <w:r>
        <w:t>| Thermal capacity | 200,000 kcal/h |</w:t>
      </w:r>
    </w:p>
    <w:p>
      <w:r>
        <w:t>| Solid waste feed rate | Up to 100 kg/h |</w:t>
      </w:r>
    </w:p>
    <w:p>
      <w:r>
        <w:t>| Residence time | ≥2 seconds at &gt;850°C |</w:t>
      </w:r>
    </w:p>
    <w:p>
      <w:pPr>
        <w:pStyle w:val="Heading4"/>
      </w:pPr>
      <w:r>
        <w:t>Secondary Chamber (Afterburner / OWC)</w:t>
      </w:r>
    </w:p>
    <w:p>
      <w:r>
        <w:t>| Parameter | Value |</w:t>
      </w:r>
    </w:p>
    <w:p>
      <w:r>
        <w:t>|-----------|-------|</w:t>
      </w:r>
    </w:p>
    <w:p>
      <w:r>
        <w:t>| Operating temperature | &gt;900°C |</w:t>
      </w:r>
    </w:p>
    <w:p>
      <w:r>
        <w:t>| Purpose | Complete combustion of volatiles, CO reduction |</w:t>
      </w:r>
    </w:p>
    <w:p>
      <w:r>
        <w:t>| Flue gas residence time | ≥1 second at &gt;900°C |</w:t>
      </w:r>
    </w:p>
    <w:p>
      <w:pPr>
        <w:pStyle w:val="Heading4"/>
      </w:pPr>
      <w:r>
        <w:t>Sludge Oil Burner (OWC)</w:t>
      </w:r>
    </w:p>
    <w:p>
      <w:r>
        <w:t>| Parameter | Value |</w:t>
      </w:r>
    </w:p>
    <w:p>
      <w:r>
        <w:t>|-----------|-------|</w:t>
      </w:r>
    </w:p>
    <w:p>
      <w:r>
        <w:t>| Fuel | Sludge oil / HFO sludge |</w:t>
      </w:r>
    </w:p>
    <w:p>
      <w:r>
        <w:t>| Flow rate | 0–35 kg/h |</w:t>
      </w:r>
    </w:p>
    <w:p>
      <w:r>
        <w:t>| Atomising medium | Compressed air (5–7 bar) |</w:t>
      </w:r>
    </w:p>
    <w:p>
      <w:r>
        <w:t>| Sludge oil pressure | 2.5–4.0 bar |</w:t>
      </w:r>
    </w:p>
    <w:p>
      <w:r>
        <w:t>| Preheating temp | 50–80°C |</w:t>
      </w:r>
    </w:p>
    <w:p>
      <w:pPr>
        <w:pStyle w:val="Heading4"/>
      </w:pPr>
      <w:r>
        <w:t>Combustion Air System</w:t>
      </w:r>
    </w:p>
    <w:p>
      <w:r>
        <w:t>| Parameter | Value |</w:t>
      </w:r>
    </w:p>
    <w:p>
      <w:r>
        <w:t>|-----------|-------|</w:t>
      </w:r>
    </w:p>
    <w:p>
      <w:r>
        <w:t>| Primary air | Underfire air — promotes solid combustion |</w:t>
      </w:r>
    </w:p>
    <w:p>
      <w:r>
        <w:t>| Secondary air | Overfire air — turbulence in secondary chamber |</w:t>
      </w:r>
    </w:p>
    <w:p>
      <w:r>
        <w:t>| Fan type | Centrifugal, direct-drive |</w:t>
      </w:r>
    </w:p>
    <w:p>
      <w:pPr>
        <w:pStyle w:val="Heading4"/>
      </w:pPr>
      <w:r>
        <w:t>Cooling / Stack</w:t>
      </w:r>
    </w:p>
    <w:p>
      <w:r>
        <w:t>| Parameter | Value |</w:t>
      </w:r>
    </w:p>
    <w:p>
      <w:r>
        <w:t>|-----------|-------|</w:t>
      </w:r>
    </w:p>
    <w:p>
      <w:r>
        <w:t>| Flue gas cooling | Seawater-cooled stack or exhaust dilution |</w:t>
      </w:r>
    </w:p>
    <w:p>
      <w:r>
        <w:t>| Max flue gas outlet temp | 350°C |</w:t>
      </w:r>
    </w:p>
    <w:p>
      <w:r>
        <w:t>| Cooling water flow | 3–5 m³/h |</w:t>
      </w:r>
    </w:p>
    <w:p>
      <w:r>
        <w:t>| Stack height above deck | Per class rules |</w:t>
      </w:r>
    </w:p>
    <w:p>
      <w:r>
        <w:t>---</w:t>
      </w:r>
    </w:p>
    <w:p>
      <w:pPr>
        <w:pStyle w:val="Heading3"/>
      </w:pPr>
      <w:r>
        <w:t>Operational Limits</w:t>
      </w:r>
    </w:p>
    <w:p>
      <w:pPr>
        <w:pStyle w:val="Heading4"/>
      </w:pPr>
      <w:r>
        <w:t>Port Restriction</w:t>
      </w:r>
    </w:p>
    <w:p>
      <w:pPr>
        <w:pStyle w:val="ListBullet"/>
        <w:spacing w:after="40"/>
      </w:pPr>
      <w:r>
        <w:t>MARPOL and MEPC.76(40) strictly prohibit operation in port limits without explicit port authority permission.</w:t>
      </w:r>
    </w:p>
    <w:p>
      <w:pPr>
        <w:pStyle w:val="ListBullet"/>
        <w:spacing w:after="40"/>
      </w:pPr>
      <w:r>
        <w:t>Visual and audible warning must be acknowledged by operator before any start attempt.</w:t>
      </w:r>
    </w:p>
    <w:p>
      <w:pPr>
        <w:pStyle w:val="ListBullet"/>
        <w:spacing w:after="40"/>
      </w:pPr>
      <w:r>
        <w:t>Simulator models a 3nm port exclusion zone.</w:t>
      </w:r>
    </w:p>
    <w:p>
      <w:pPr>
        <w:pStyle w:val="Heading4"/>
      </w:pPr>
      <w:r>
        <w:t>Temperature Hold Requirement</w:t>
      </w:r>
    </w:p>
    <w:p>
      <w:pPr>
        <w:pStyle w:val="ListBullet"/>
        <w:spacing w:after="40"/>
      </w:pPr>
      <w:r>
        <w:t>Primary chamber must reach and maintain ≥850°C for a minimum of **2 seconds** before waste feed begins (MEPC.76(40) Section 2.3).</w:t>
      </w:r>
    </w:p>
    <w:p>
      <w:pPr>
        <w:pStyle w:val="ListBullet"/>
        <w:spacing w:after="40"/>
      </w:pPr>
      <w:r>
        <w:t>Failure to hold temperature triggers LOW TEMP alarm and automatic waste feed cutoff.</w:t>
      </w:r>
    </w:p>
    <w:p>
      <w:r>
        <w:t>---</w:t>
      </w:r>
    </w:p>
    <w:p>
      <w:pPr>
        <w:pStyle w:val="Heading3"/>
      </w:pPr>
      <w:r>
        <w:t>Alarm Setpoints</w:t>
      </w:r>
    </w:p>
    <w:p>
      <w:r>
        <w:t>| Alarm ID | Description | Setpoint | Type |</w:t>
      </w:r>
    </w:p>
    <w:p>
      <w:r>
        <w:t>|----------|-------------|----------|------|</w:t>
      </w:r>
    </w:p>
    <w:p>
      <w:r>
        <w:t>| INC-001 | Primary chamber low temp | &lt;850°C | Alarm |</w:t>
      </w:r>
    </w:p>
    <w:p>
      <w:r>
        <w:t>| INC-002 | Secondary chamber low temp | &lt;900°C | Warning |</w:t>
      </w:r>
    </w:p>
    <w:p>
      <w:r>
        <w:t>| INC-003 | Flue gas high temp | &gt;350°C | Alarm |</w:t>
      </w:r>
    </w:p>
    <w:p>
      <w:r>
        <w:t>| INC-004 | Sludge oil high pressure | &gt;4.5 bar | Alarm |</w:t>
      </w:r>
    </w:p>
    <w:p>
      <w:r>
        <w:t>| INC-005 | Cooling water low flow | &lt;2.5 m³/h | Alarm |</w:t>
      </w:r>
    </w:p>
    <w:p>
      <w:r>
        <w:t>| INC-006 | Port restriction — incineration prohibited | In port | Warning |</w:t>
      </w:r>
    </w:p>
    <w:p>
      <w:r>
        <w:t>| INC-007 | Primary chamber high temp | &gt;1050°C | Warning |</w:t>
      </w:r>
    </w:p>
    <w:p>
      <w:r>
        <w:t>---</w:t>
      </w:r>
    </w:p>
    <w:p>
      <w:pPr>
        <w:pStyle w:val="Heading3"/>
      </w:pPr>
      <w:r>
        <w:t>Waste Logging — Garbage Record Book (GRB)</w:t>
      </w:r>
    </w:p>
    <w:p>
      <w:r>
        <w:t>Per MARPOL Annex V Regulation 10, a Garbage Record Book must be maintained on all ships of 100 GT and above and all ships certified to carry 15 or more persons.</w:t>
      </w:r>
    </w:p>
    <w:p>
      <w:pPr>
        <w:pStyle w:val="Heading4"/>
      </w:pPr>
      <w:r>
        <w:t>Mandatory GRB Entries for Incineration:</w:t>
      </w:r>
    </w:p>
    <w:p>
      <w:pPr>
        <w:pStyle w:val="ListBullet"/>
        <w:spacing w:after="40"/>
      </w:pPr>
      <w:r>
        <w:t>Date and time of operation</w:t>
      </w:r>
    </w:p>
    <w:p>
      <w:pPr>
        <w:pStyle w:val="ListBullet"/>
        <w:spacing w:after="40"/>
      </w:pPr>
      <w:r>
        <w:t>Ship's position (latitude/longitude)</w:t>
      </w:r>
    </w:p>
    <w:p>
      <w:pPr>
        <w:pStyle w:val="ListBullet"/>
        <w:spacing w:after="40"/>
      </w:pPr>
      <w:r>
        <w:t>Description of garbage incinerated</w:t>
      </w:r>
    </w:p>
    <w:p>
      <w:pPr>
        <w:pStyle w:val="ListBullet"/>
        <w:spacing w:after="40"/>
      </w:pPr>
      <w:r>
        <w:t>Estimated amount (m³)</w:t>
      </w:r>
    </w:p>
    <w:p>
      <w:pPr>
        <w:pStyle w:val="ListBullet"/>
        <w:spacing w:after="40"/>
      </w:pPr>
      <w:r>
        <w:t>Name/signature of officer in charge</w:t>
      </w:r>
    </w:p>
    <w:p>
      <w:r>
        <w:t>Categories (per Annex V):</w:t>
      </w:r>
    </w:p>
    <w:p>
      <w:pPr>
        <w:pStyle w:val="ListBullet"/>
        <w:spacing w:after="40"/>
      </w:pPr>
      <w:r>
        <w:t>**A** — Plastics (incineration only, not overboard)</w:t>
      </w:r>
    </w:p>
    <w:p>
      <w:pPr>
        <w:pStyle w:val="ListBullet"/>
        <w:spacing w:after="40"/>
      </w:pPr>
      <w:r>
        <w:t>**B** — Food waste</w:t>
      </w:r>
    </w:p>
    <w:p>
      <w:pPr>
        <w:pStyle w:val="ListBullet"/>
        <w:spacing w:after="40"/>
      </w:pPr>
      <w:r>
        <w:t>**C** — Domestic waste (incl. paper, rags)</w:t>
      </w:r>
    </w:p>
    <w:p>
      <w:pPr>
        <w:pStyle w:val="ListBullet"/>
        <w:spacing w:after="40"/>
      </w:pPr>
      <w:r>
        <w:t>**D** — Cooking oil</w:t>
      </w:r>
    </w:p>
    <w:p>
      <w:pPr>
        <w:pStyle w:val="ListBullet"/>
        <w:spacing w:after="40"/>
      </w:pPr>
      <w:r>
        <w:t>**E** — Incinerator ash (must be recorded separately)</w:t>
      </w:r>
    </w:p>
    <w:p>
      <w:pPr>
        <w:pStyle w:val="ListBullet"/>
        <w:spacing w:after="40"/>
      </w:pPr>
      <w:r>
        <w:t>**F** — Operational waste</w:t>
      </w:r>
    </w:p>
    <w:p>
      <w:pPr>
        <w:pStyle w:val="ListBullet"/>
        <w:spacing w:after="40"/>
      </w:pPr>
      <w:r>
        <w:t>**G** — Cargo residues (non-HME)</w:t>
      </w:r>
    </w:p>
    <w:p>
      <w:pPr>
        <w:pStyle w:val="ListBullet"/>
        <w:spacing w:after="40"/>
      </w:pPr>
      <w:r>
        <w:t>**H** — EGC residues</w:t>
      </w:r>
    </w:p>
    <w:p>
      <w:r>
        <w:t>---</w:t>
      </w:r>
    </w:p>
    <w:p>
      <w:pPr>
        <w:pStyle w:val="Heading3"/>
      </w:pPr>
      <w:r>
        <w:t>Start-Up Procedure (Normal)</w:t>
      </w:r>
    </w:p>
    <w:p>
      <w:r>
        <w:t>1. Confirm vessel is outside port limits (&gt;3nm from land as minimum).</w:t>
      </w:r>
    </w:p>
    <w:p>
      <w:r>
        <w:t>2. Check sludge oil tank level; ensure preheating to 60°C.</w:t>
      </w:r>
    </w:p>
    <w:p>
      <w:r>
        <w:t>3. Open cooling water supply and confirm flow &gt;3 m³/h.</w:t>
      </w:r>
    </w:p>
    <w:p>
      <w:r>
        <w:t>4. Start combustion air fan; confirm airflow.</w:t>
      </w:r>
    </w:p>
    <w:p>
      <w:r>
        <w:t>5. Open flue damper to OPEN position.</w:t>
      </w:r>
    </w:p>
    <w:p>
      <w:r>
        <w:t>6. Ignite primary chamber burner; monitor temperature rise.</w:t>
      </w:r>
    </w:p>
    <w:p>
      <w:r>
        <w:t>7. Wait for primary chamber to reach ≥850°C (hold 2 seconds).</w:t>
      </w:r>
    </w:p>
    <w:p>
      <w:r>
        <w:t>8. Start sludge oil burner if OWC incineration required.</w:t>
      </w:r>
    </w:p>
    <w:p>
      <w:r>
        <w:t>9. Confirm secondary chamber &gt;900°C before loading solid waste.</w:t>
      </w:r>
    </w:p>
    <w:p>
      <w:r>
        <w:t>10. Open solid waste feed door and load waste.</w:t>
      </w:r>
    </w:p>
    <w:p>
      <w:r>
        <w:t>11. Monitor flue gas temperature: must not exceed 350°C.</w:t>
      </w:r>
    </w:p>
    <w:p>
      <w:r>
        <w:t>---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IMO MEPC.76(40) — Standard Specification for Shipboard Incinerators</w:t>
      </w:r>
    </w:p>
    <w:p>
      <w:pPr>
        <w:pStyle w:val="ListBullet"/>
        <w:spacing w:after="40"/>
      </w:pPr>
      <w:r>
        <w:t>MARPOL Annex I, Regulation 13 — Sludge Tanks</w:t>
      </w:r>
    </w:p>
    <w:p>
      <w:pPr>
        <w:pStyle w:val="ListBullet"/>
        <w:spacing w:after="40"/>
      </w:pPr>
      <w:r>
        <w:t>MARPOL Annex V — Prevention of Pollution by Garbage</w:t>
      </w:r>
    </w:p>
    <w:p>
      <w:pPr>
        <w:pStyle w:val="ListBullet"/>
        <w:spacing w:after="40"/>
      </w:pPr>
      <w:r>
        <w:t>ISM Code Section 7 — Shipboard Operations</w:t>
      </w:r>
    </w:p>
    <w:p>
      <w:pPr>
        <w:pStyle w:val="ListBullet"/>
        <w:spacing w:after="40"/>
      </w:pPr>
      <w:r>
        <w:t>SOLAS II-2/Reg.16 — Arrangements for fuel oil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