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ODME — Oil Discharge Monitoring Equipment</w:t>
      </w:r>
    </w:p>
    <w:p>
      <w:pPr>
        <w:jc w:val="center"/>
      </w:pPr>
      <w:r>
        <w:rPr>
          <w:color w:val="646464"/>
          <w:sz w:val="24"/>
        </w:rPr>
        <w:t>Engine Room Equipment</w:t>
      </w:r>
    </w:p>
    <w:p>
      <w:pPr>
        <w:jc w:val="center"/>
      </w:pPr>
      <w:r>
        <w:rPr>
          <w:color w:val="505050"/>
          <w:sz w:val="20"/>
        </w:rPr>
        <w:t>Tanker ODME simulator per MARPOL Annex I Reg.31 and MEPC.108(49) — monitors instantaneous discharge rate (30 l/nm limit), position (50nm restriction), and logs to ORB Part II.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Tanker ODME simulator per MARPOL Annex I Reg.31 and MEPC.108(49) — monitors instantaneous discharge rate (30 l/nm limit), position (50nm restriction), and logs to ORB Part II.</w:t>
      </w:r>
    </w:p>
    <w:p>
      <w:pPr>
        <w:pStyle w:val="Heading2"/>
      </w:pPr>
      <w:r>
        <w:t>Key Features</w:t>
      </w:r>
    </w:p>
    <w:p>
      <w:pPr>
        <w:pStyle w:val="ListBullet"/>
      </w:pPr>
      <w:r>
        <w:t>Real-time instantaneous discharge rate (l/nm) with automatic overboard valve trip at &gt;30 l/nm.</w:t>
      </w:r>
    </w:p>
    <w:p>
      <w:pPr>
        <w:pStyle w:val="ListBullet"/>
      </w:pPr>
      <w:r>
        <w:t>Live position tracking with 50nm from land restriction and special area enforcement.</w:t>
      </w:r>
    </w:p>
    <w:p>
      <w:pPr>
        <w:pStyle w:val="ListBullet"/>
      </w:pPr>
      <w:r>
        <w:t>Total discharged tracking against 1/30,000 cargo quantity MARPOL limit.</w:t>
      </w:r>
    </w:p>
    <w:p>
      <w:pPr>
        <w:pStyle w:val="ListBullet"/>
      </w:pPr>
      <w:r>
        <w:t>Recording strip chart showing discharge rate trend.</w:t>
      </w:r>
    </w:p>
    <w:p>
      <w:pPr>
        <w:pStyle w:val="ListBullet"/>
      </w:pPr>
      <w:r>
        <w:t>Oil Record Book Part II (ORB) entry logging with position, rate, and total.</w:t>
      </w:r>
    </w:p>
    <w:p>
      <w:pPr>
        <w:pStyle w:val="ListBullet"/>
      </w:pPr>
      <w:r>
        <w:t>Three scenarios: Normal Ballast Discharge, Rate Exceedance Trip, Position Restriction.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ODME 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ODME SYSTEM SCHEMATIC &amp; DISPLAY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READINGS &amp;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SYSTEM VALVES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RECORDING STRIP CHART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OIL RECORD BOOK Pt.II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OPEN</w:t>
            </w:r>
          </w:p>
        </w:tc>
      </w:tr>
      <w:tr>
        <w:tc>
          <w:tcPr>
            <w:tcW w:type="dxa" w:w="8640"/>
          </w:tcPr>
          <w:p>
            <w:r>
              <w:t>CLOSE</w:t>
            </w:r>
          </w:p>
        </w:tc>
      </w:tr>
    </w:tbl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ODME (Oil Discharge Monitoring Equipment) — Technical Reference</w:t>
      </w:r>
    </w:p>
    <w:p>
      <w:pPr>
        <w:pStyle w:val="Heading3"/>
      </w:pPr>
      <w:r>
        <w:t>Regulatory Framework</w:t>
      </w:r>
    </w:p>
    <w:p>
      <w:pPr>
        <w:pStyle w:val="Heading4"/>
      </w:pPr>
      <w:r>
        <w:t>MARPOL Annex I — Regulation 31: Discharge of Oil from Oil Tankers</w:t>
      </w:r>
    </w:p>
    <w:p>
      <w:r>
        <w:t>For oil tankers of 150 GT and above, discharge of oil or oily mixture into the sea is prohibited EXCEPT when ALL of the following conditions are met:</w:t>
      </w:r>
    </w:p>
    <w:p>
      <w:r>
        <w:t>1. The tanker is not within a Special Area.</w:t>
      </w:r>
    </w:p>
    <w:p>
      <w:r>
        <w:t>2. The tanker is more than 50 nautical miles from the nearest land.</w:t>
      </w:r>
    </w:p>
    <w:p>
      <w:r>
        <w:t>3. The tanker is proceeding en route.</w:t>
      </w:r>
    </w:p>
    <w:p>
      <w:r>
        <w:t>4. The instantaneous rate of discharge of oil content does not exceed 30 litres per nautical mile.</w:t>
      </w:r>
    </w:p>
    <w:p>
      <w:r>
        <w:t>5. The total quantity of oil discharged does not exceed:</w:t>
      </w:r>
    </w:p>
    <w:p>
      <w:r>
        <w:t xml:space="preserve">   - For existing tankers: 1/15,000 of the total quantity of the particular cargo.</w:t>
      </w:r>
    </w:p>
    <w:p>
      <w:r>
        <w:t xml:space="preserve">   - For new tankers: 1/30,000 of the total quantity of the particular cargo.</w:t>
      </w:r>
    </w:p>
    <w:p>
      <w:r>
        <w:t>6. The tanker has in operation an Oil Discharge Monitoring and Control System (ODME) and a slop tank arrangement.</w:t>
      </w:r>
    </w:p>
    <w:p>
      <w:pPr>
        <w:pStyle w:val="Heading4"/>
      </w:pPr>
      <w:r>
        <w:t>IMO MEPC.108(49) — Revised Guidelines and Specifications for ODME</w:t>
      </w:r>
    </w:p>
    <w:p>
      <w:pPr>
        <w:pStyle w:val="ListBullet"/>
        <w:spacing w:after="40"/>
      </w:pPr>
      <w:r>
        <w:t>Specifies technical requirements for ODME equipment.</w:t>
      </w:r>
    </w:p>
    <w:p>
      <w:pPr>
        <w:pStyle w:val="ListBullet"/>
        <w:spacing w:after="40"/>
      </w:pPr>
      <w:r>
        <w:t>ODME must continuously calculate and record:</w:t>
      </w:r>
    </w:p>
    <w:p>
      <w:r>
        <w:t xml:space="preserve">  - Ship's speed (knots).</w:t>
      </w:r>
    </w:p>
    <w:p>
      <w:r>
        <w:t xml:space="preserve">  - Instantaneous discharge rate (litres/nm).</w:t>
      </w:r>
    </w:p>
    <w:p>
      <w:r>
        <w:t xml:space="preserve">  - Total quantity discharged (litres).</w:t>
      </w:r>
    </w:p>
    <w:p>
      <w:r>
        <w:t xml:space="preserve">  - Position (latitude/longitude).</w:t>
      </w:r>
    </w:p>
    <w:p>
      <w:r>
        <w:t xml:space="preserve">  - Date and time.</w:t>
      </w:r>
    </w:p>
    <w:p>
      <w:pPr>
        <w:pStyle w:val="ListBullet"/>
        <w:spacing w:after="40"/>
      </w:pPr>
      <w:r>
        <w:t>ODME must automatically shut off the overboard discharge valve if rate exceeds 30 l/nm.</w:t>
      </w:r>
    </w:p>
    <w:p>
      <w:pPr>
        <w:pStyle w:val="ListBullet"/>
        <w:spacing w:after="40"/>
      </w:pPr>
      <w:r>
        <w:t>Recording must use tamper-evident memory (typically printout or electronic log).</w:t>
      </w:r>
    </w:p>
    <w:p>
      <w:pPr>
        <w:pStyle w:val="Heading4"/>
      </w:pPr>
      <w:r>
        <w:t>MARPOL Annex I — Regulation 36: Oil Record Book Part II (Cargo/Ballast Operations)</w:t>
      </w:r>
    </w:p>
    <w:p>
      <w:r>
        <w:t>For oil tankers, all cargo and ballast operations must be recorded in ORB Part II, including:</w:t>
      </w:r>
    </w:p>
    <w:p>
      <w:pPr>
        <w:pStyle w:val="ListBullet"/>
        <w:spacing w:after="40"/>
      </w:pPr>
      <w:r>
        <w:t>Loading and internal transfer of oil cargo.</w:t>
      </w:r>
    </w:p>
    <w:p>
      <w:pPr>
        <w:pStyle w:val="ListBullet"/>
        <w:spacing w:after="40"/>
      </w:pPr>
      <w:r>
        <w:t>Ballasting of cargo tanks and dedicated clean ballast tanks.</w:t>
      </w:r>
    </w:p>
    <w:p>
      <w:pPr>
        <w:pStyle w:val="ListBullet"/>
        <w:spacing w:after="40"/>
      </w:pPr>
      <w:r>
        <w:t>Cleaning of cargo tanks.</w:t>
      </w:r>
    </w:p>
    <w:p>
      <w:pPr>
        <w:pStyle w:val="ListBullet"/>
        <w:spacing w:after="40"/>
      </w:pPr>
      <w:r>
        <w:t>Discharge of ballast water (via ODME or to slop tank).</w:t>
      </w:r>
    </w:p>
    <w:p>
      <w:pPr>
        <w:pStyle w:val="ListBullet"/>
        <w:spacing w:after="40"/>
      </w:pPr>
      <w:r>
        <w:t>Condition of oil/water interface detector in slop tanks.</w:t>
      </w:r>
    </w:p>
    <w:p>
      <w:pPr>
        <w:pStyle w:val="ListBullet"/>
        <w:spacing w:after="40"/>
      </w:pPr>
      <w:r>
        <w:t>Transfer to slop tanks — quantities and times.</w:t>
      </w:r>
    </w:p>
    <w:p>
      <w:pPr>
        <w:pStyle w:val="ListBullet"/>
        <w:spacing w:after="40"/>
      </w:pPr>
      <w:r>
        <w:t>Discharge to sea — ODME readings, rate, total quantity.</w:t>
      </w:r>
    </w:p>
    <w:p>
      <w:pPr>
        <w:pStyle w:val="Heading4"/>
      </w:pPr>
      <w:r>
        <w:t>50nm and Special Area Restrictions</w:t>
      </w:r>
    </w:p>
    <w:p>
      <w:r>
        <w:t>| Area | Restriction |</w:t>
      </w:r>
    </w:p>
    <w:p>
      <w:r>
        <w:t>|------|------------|</w:t>
      </w:r>
    </w:p>
    <w:p>
      <w:r>
        <w:t>| Within 50nm of land | No discharge (general) |</w:t>
      </w:r>
    </w:p>
    <w:p>
      <w:r>
        <w:t>| MARPOL Special Areas | Zero discharge |</w:t>
      </w:r>
    </w:p>
    <w:p>
      <w:r>
        <w:t>| Baltic Sea | Zero discharge |</w:t>
      </w:r>
    </w:p>
    <w:p>
      <w:r>
        <w:t>| Mediterranean Sea | Zero discharge |</w:t>
      </w:r>
    </w:p>
    <w:p>
      <w:r>
        <w:t>| Black Sea | Zero discharge |</w:t>
      </w:r>
    </w:p>
    <w:p>
      <w:r>
        <w:t>| Red Sea | Zero discharge |</w:t>
      </w:r>
    </w:p>
    <w:p>
      <w:r>
        <w:t>| Gulf Area (Persian/Gulf of Oman) | Zero discharge |</w:t>
      </w:r>
    </w:p>
    <w:p>
      <w:r>
        <w:t>| Antarctic Area | Zero discharge |</w:t>
      </w:r>
    </w:p>
    <w:p>
      <w:pPr>
        <w:pStyle w:val="Heading4"/>
      </w:pPr>
      <w:r>
        <w:t>MARPOL Special Areas for Tankers</w:t>
      </w:r>
    </w:p>
    <w:p>
      <w:r>
        <w:t>In these areas, no discharge of oil or oily mixture is permitted from any tanker, except under the following condition (Reg. 15):</w:t>
      </w:r>
    </w:p>
    <w:p>
      <w:pPr>
        <w:pStyle w:val="ListBullet"/>
        <w:spacing w:after="40"/>
      </w:pPr>
      <w:r>
        <w:t>Clean or segregated ballast, provided the tanker is not in the Antarctic Area.</w:t>
      </w:r>
    </w:p>
    <w:p>
      <w:r>
        <w:t>---</w:t>
      </w:r>
    </w:p>
    <w:p>
      <w:pPr>
        <w:pStyle w:val="Heading3"/>
      </w:pPr>
      <w:r>
        <w:t>ODME System Components</w:t>
      </w:r>
    </w:p>
    <w:p>
      <w:pPr>
        <w:pStyle w:val="Heading4"/>
      </w:pPr>
      <w:r>
        <w:t>Hardware</w:t>
      </w:r>
    </w:p>
    <w:p>
      <w:r>
        <w:t>1. Oil Content Meter (OCM): Continuously samples discharge flow; measures ppm or concentration.</w:t>
      </w:r>
    </w:p>
    <w:p>
      <w:r>
        <w:t>2. Flow meter: Measures discharge rate in m³/h or similar.</w:t>
      </w:r>
    </w:p>
    <w:p>
      <w:r>
        <w:t>3. Computer/Controller: Calculates instantaneous rate (l/nm) and cumulative total.</w:t>
      </w:r>
    </w:p>
    <w:p>
      <w:r>
        <w:t>4. Speed Input: From GPS or ship's log — essential for rate calculation.</w:t>
      </w:r>
    </w:p>
    <w:p>
      <w:r>
        <w:t>5. Position Input: GPS receiver — records position for ORB.</w:t>
      </w:r>
    </w:p>
    <w:p>
      <w:r>
        <w:t>6. Overboard Valve Control: Relay output to automatic shut-off valve.</w:t>
      </w:r>
    </w:p>
    <w:p>
      <w:r>
        <w:t>7. Printer: For tamper-resistant hard copy record.</w:t>
      </w:r>
    </w:p>
    <w:p>
      <w:r>
        <w:t>8. Non-volatile Memory: Stores last 12+ months of operating data.</w:t>
      </w:r>
    </w:p>
    <w:p>
      <w:pPr>
        <w:pStyle w:val="Heading4"/>
      </w:pPr>
      <w:r>
        <w:t>Instantaneous Discharge Rate Calculation</w:t>
      </w:r>
    </w:p>
    <w:p>
      <w:r>
        <w:t>```</w:t>
      </w:r>
    </w:p>
    <w:p>
      <w:r>
        <w:t>Rate (l/nm) = Flow Rate (l/h) ÷ Ship's Speed (knots)</w:t>
      </w:r>
    </w:p>
    <w:p>
      <w:r>
        <w:t>```</w:t>
      </w:r>
    </w:p>
    <w:p>
      <w:r>
        <w:t>Or equivalently:</w:t>
      </w:r>
    </w:p>
    <w:p>
      <w:r>
        <w:t>```</w:t>
      </w:r>
    </w:p>
    <w:p>
      <w:r>
        <w:t>Rate (l/nm) = [Pump Rate (l/s)] × 3600 ÷ Speed (nm/h)</w:t>
      </w:r>
    </w:p>
    <w:p>
      <w:r>
        <w:t>```</w:t>
      </w:r>
    </w:p>
    <w:p>
      <w:r>
        <w:t>Example:</w:t>
      </w:r>
    </w:p>
    <w:p>
      <w:pPr>
        <w:pStyle w:val="ListBullet"/>
        <w:spacing w:after="40"/>
      </w:pPr>
      <w:r>
        <w:t>Pump rate: 200 m³/h = 200,000 l/h</w:t>
      </w:r>
    </w:p>
    <w:p>
      <w:pPr>
        <w:pStyle w:val="ListBullet"/>
        <w:spacing w:after="40"/>
      </w:pPr>
      <w:r>
        <w:t>Ship's speed: 12 knots</w:t>
      </w:r>
    </w:p>
    <w:p>
      <w:pPr>
        <w:pStyle w:val="ListBullet"/>
        <w:spacing w:after="40"/>
      </w:pPr>
      <w:r>
        <w:t>Rate = 200,000 ÷ 12 = 16,667 l/nm → EXCEEDS 30 l/nm limit? No (16,667 &gt; 30 → YES, EXCEEDS!)</w:t>
      </w:r>
    </w:p>
    <w:p>
      <w:pPr>
        <w:pStyle w:val="ListBullet"/>
        <w:spacing w:after="40"/>
      </w:pPr>
      <w:r>
        <w:t>Wait — 30 l/nm is very restrictive — implies very low discharge rates or high speeds.</w:t>
      </w:r>
    </w:p>
    <w:p>
      <w:r>
        <w:t>Practical limits:</w:t>
      </w:r>
    </w:p>
    <w:p>
      <w:pPr>
        <w:pStyle w:val="ListBullet"/>
        <w:spacing w:after="40"/>
      </w:pPr>
      <w:r>
        <w:t>If speed = 12 kn, max flow = 30 × 12 = 360 l/nm × nm/h = 360 l/h = 0.36 m³/h.</w:t>
      </w:r>
    </w:p>
    <w:p>
      <w:pPr>
        <w:pStyle w:val="ListBullet"/>
        <w:spacing w:after="40"/>
      </w:pPr>
      <w:r>
        <w:t>If speed = 15 kn, max flow = 30 × 15 = 450 l/h = 0.45 m³/h.</w:t>
      </w:r>
    </w:p>
    <w:p>
      <w:pPr>
        <w:pStyle w:val="ListBullet"/>
        <w:spacing w:after="40"/>
      </w:pPr>
      <w:r>
        <w:t>This explains why only very clean ballast water can be discharged, and why slop tank washing water must generally be retained.</w:t>
      </w:r>
    </w:p>
    <w:p>
      <w:pPr>
        <w:pStyle w:val="Heading4"/>
      </w:pPr>
      <w:r>
        <w:t>Maximum Allowable Total Discharge</w:t>
      </w:r>
    </w:p>
    <w:p>
      <w:r>
        <w:t>For a new tanker (post 1979):</w:t>
      </w:r>
    </w:p>
    <w:p>
      <w:r>
        <w:t>```</w:t>
      </w:r>
    </w:p>
    <w:p>
      <w:r>
        <w:t>Max total (litres) = Cargo capacity (litres) ÷ 30,000</w:t>
      </w:r>
    </w:p>
    <w:p>
      <w:r>
        <w:t>```</w:t>
      </w:r>
    </w:p>
    <w:p>
      <w:r>
        <w:t>Example: VLCC with 200,000 m³ cargo = 200,000,000 litres → Max = 6,667 litres ≈ 6.7 m³</w:t>
      </w:r>
    </w:p>
    <w:p>
      <w:r>
        <w:t>This is an extremely small quantity, meaning in practice, only very dilute clean water can be discharged.</w:t>
      </w:r>
    </w:p>
    <w:p>
      <w:r>
        <w:t>---</w:t>
      </w:r>
    </w:p>
    <w:p>
      <w:pPr>
        <w:pStyle w:val="Heading3"/>
      </w:pPr>
      <w:r>
        <w:t>ODME Operating Procedure</w:t>
      </w:r>
    </w:p>
    <w:p>
      <w:pPr>
        <w:pStyle w:val="Heading4"/>
      </w:pPr>
      <w:r>
        <w:t>Pre-Discharge Checks</w:t>
      </w:r>
    </w:p>
    <w:p>
      <w:r>
        <w:t>1. Verify ODME is powered and functioning — self-test passed.</w:t>
      </w:r>
    </w:p>
    <w:p>
      <w:r>
        <w:t>2. Confirm ship's position &gt;50nm from nearest land.</w:t>
      </w:r>
    </w:p>
    <w:p>
      <w:r>
        <w:t>3. Confirm ship is proceeding en route (not at anchor, not in port).</w:t>
      </w:r>
    </w:p>
    <w:p>
      <w:r>
        <w:t>4. Verify ship is not in a Special Area.</w:t>
      </w:r>
    </w:p>
    <w:p>
      <w:r>
        <w:t>5. Confirm ODME speed input active — GPS or log connected.</w:t>
      </w:r>
    </w:p>
    <w:p>
      <w:r>
        <w:t>6. Check slop tank level and oil/water interface.</w:t>
      </w:r>
    </w:p>
    <w:p>
      <w:r>
        <w:t>7. Confirm ORB Part II is available and being maintained.</w:t>
      </w:r>
    </w:p>
    <w:p>
      <w:r>
        <w:t>8. Inspect overboard valve — automatic shut-off functioning.</w:t>
      </w:r>
    </w:p>
    <w:p>
      <w:pPr>
        <w:pStyle w:val="Heading4"/>
      </w:pPr>
      <w:r>
        <w:t>Discharge Operation</w:t>
      </w:r>
    </w:p>
    <w:p>
      <w:r>
        <w:t>1. Start discharge pump slowly.</w:t>
      </w:r>
    </w:p>
    <w:p>
      <w:r>
        <w:t>2. Monitor ODME display: instantaneous rate (l/nm), oil content (ppm).</w:t>
      </w:r>
    </w:p>
    <w:p>
      <w:r>
        <w:t>3. If rate exceeds 30 l/nm: ODME automatically closes overboard valve.</w:t>
      </w:r>
    </w:p>
    <w:p>
      <w:r>
        <w:t>4. Ensure rate remains below limit by adjusting pump speed or increasing ship's speed.</w:t>
      </w:r>
    </w:p>
    <w:p>
      <w:r>
        <w:t>5. Monitor total quantity discharged — compare to 1/30,000 limit.</w:t>
      </w:r>
    </w:p>
    <w:p>
      <w:r>
        <w:t>6. Log all readings at minimum 1-hour intervals in ORB.</w:t>
      </w:r>
    </w:p>
    <w:p>
      <w:r>
        <w:t>7. On completion: close overboard valve, stop pump, record final totals.</w:t>
      </w:r>
    </w:p>
    <w:p>
      <w:pPr>
        <w:pStyle w:val="Heading4"/>
      </w:pPr>
      <w:r>
        <w:t>Response to Rate Exceedance Trip</w:t>
      </w:r>
    </w:p>
    <w:p>
      <w:r>
        <w:t>1. ODME auto-closes overboard valve (pump continues to discharge to slop tank or stops).</w:t>
      </w:r>
    </w:p>
    <w:p>
      <w:r>
        <w:t>2. Acknowledge alarm.</w:t>
      </w:r>
    </w:p>
    <w:p>
      <w:r>
        <w:t>3. Do NOT manually bypass the overboard valve.</w:t>
      </w:r>
    </w:p>
    <w:p>
      <w:r>
        <w:t>4. Investigate cause:</w:t>
      </w:r>
    </w:p>
    <w:p>
      <w:r>
        <w:t xml:space="preserve">   - Speed reduction?</w:t>
      </w:r>
    </w:p>
    <w:p>
      <w:r>
        <w:t xml:space="preserve">   - Oil content increase in ballast water?</w:t>
      </w:r>
    </w:p>
    <w:p>
      <w:r>
        <w:t xml:space="preserve">   - Wrong pump rate?</w:t>
      </w:r>
    </w:p>
    <w:p>
      <w:r>
        <w:t>5. Correct the cause before restarting.</w:t>
      </w:r>
    </w:p>
    <w:p>
      <w:r>
        <w:t>6. Record event in ORB with time, position, and reason.</w:t>
      </w:r>
    </w:p>
    <w:p>
      <w:r>
        <w:t>7. Inform Chief Officer and Master.</w:t>
      </w:r>
    </w:p>
    <w:p>
      <w:r>
        <w:t>---</w:t>
      </w:r>
    </w:p>
    <w:p>
      <w:pPr>
        <w:pStyle w:val="Heading3"/>
      </w:pPr>
      <w:r>
        <w:t>Slop Tank System</w:t>
      </w:r>
    </w:p>
    <w:p>
      <w:pPr>
        <w:pStyle w:val="Heading4"/>
      </w:pPr>
      <w:r>
        <w:t>Slop Tank Arrangement</w:t>
      </w:r>
    </w:p>
    <w:p>
      <w:pPr>
        <w:pStyle w:val="ListBullet"/>
        <w:spacing w:after="40"/>
      </w:pPr>
      <w:r>
        <w:t>Oil tankers must have a **slop tank** or multiple slop tanks.</w:t>
      </w:r>
    </w:p>
    <w:p>
      <w:pPr>
        <w:pStyle w:val="ListBullet"/>
        <w:spacing w:after="40"/>
      </w:pPr>
      <w:r>
        <w:t>Purpose: collect tank washing water, ballast water containing residues, and other oily water.</w:t>
      </w:r>
    </w:p>
    <w:p>
      <w:pPr>
        <w:pStyle w:val="ListBullet"/>
        <w:spacing w:after="40"/>
      </w:pPr>
      <w:r>
        <w:t>Minimum capacity: at least 2% of cargo carrying capacity (3% for certain tanker types).</w:t>
      </w:r>
    </w:p>
    <w:p>
      <w:pPr>
        <w:pStyle w:val="ListBullet"/>
        <w:spacing w:after="40"/>
      </w:pPr>
      <w:r>
        <w:t>**MARPOL Retention Principle**: Slops retained until adequate segregation of oil and water has occurred. Clean water portion discharged via ODME. Oil retained for next port or incineration.</w:t>
      </w:r>
    </w:p>
    <w:p>
      <w:pPr>
        <w:pStyle w:val="Heading4"/>
      </w:pPr>
      <w:r>
        <w:t>Oil/Water Interface Detector</w:t>
      </w:r>
    </w:p>
    <w:p>
      <w:pPr>
        <w:pStyle w:val="ListBullet"/>
        <w:spacing w:after="40"/>
      </w:pPr>
      <w:r>
        <w:t>Required in slop tanks.</w:t>
      </w:r>
    </w:p>
    <w:p>
      <w:pPr>
        <w:pStyle w:val="ListBullet"/>
        <w:spacing w:after="40"/>
      </w:pPr>
      <w:r>
        <w:t>Indicates height of oil/water interface.</w:t>
      </w:r>
    </w:p>
    <w:p>
      <w:pPr>
        <w:pStyle w:val="ListBullet"/>
        <w:spacing w:after="40"/>
      </w:pPr>
      <w:r>
        <w:t>Allows operator to know how much clean water is below the oil layer.</w:t>
      </w:r>
    </w:p>
    <w:p>
      <w:pPr>
        <w:pStyle w:val="ListBullet"/>
        <w:spacing w:after="40"/>
      </w:pPr>
      <w:r>
        <w:t>Only water below the interface can be discharged via ODME.</w:t>
      </w:r>
    </w:p>
    <w:p>
      <w:r>
        <w:t>---</w:t>
      </w:r>
    </w:p>
    <w:p>
      <w:pPr>
        <w:pStyle w:val="Heading3"/>
      </w:pPr>
      <w:r>
        <w:t>ODME Recording Strip Chart</w:t>
      </w:r>
    </w:p>
    <w:p>
      <w:pPr>
        <w:pStyle w:val="Heading4"/>
      </w:pPr>
      <w:r>
        <w:t>What is Recorded</w:t>
      </w:r>
    </w:p>
    <w:p>
      <w:pPr>
        <w:pStyle w:val="ListBullet"/>
        <w:spacing w:after="40"/>
      </w:pPr>
      <w:r>
        <w:t>Real-time instantaneous discharge rate (l/nm).</w:t>
      </w:r>
    </w:p>
    <w:p>
      <w:pPr>
        <w:pStyle w:val="ListBullet"/>
        <w:spacing w:after="40"/>
      </w:pPr>
      <w:r>
        <w:t>Total oil discharged.</w:t>
      </w:r>
    </w:p>
    <w:p>
      <w:pPr>
        <w:pStyle w:val="ListBullet"/>
        <w:spacing w:after="40"/>
      </w:pPr>
      <w:r>
        <w:t>Ship's speed.</w:t>
      </w:r>
    </w:p>
    <w:p>
      <w:pPr>
        <w:pStyle w:val="ListBullet"/>
        <w:spacing w:after="40"/>
      </w:pPr>
      <w:r>
        <w:t>Position (latitude/longitude).</w:t>
      </w:r>
    </w:p>
    <w:p>
      <w:pPr>
        <w:pStyle w:val="ListBullet"/>
        <w:spacing w:after="40"/>
      </w:pPr>
      <w:r>
        <w:t>Date and time.</w:t>
      </w:r>
    </w:p>
    <w:p>
      <w:pPr>
        <w:pStyle w:val="ListBullet"/>
        <w:spacing w:after="40"/>
      </w:pPr>
      <w:r>
        <w:t>Any trip events and operator interventions.</w:t>
      </w:r>
    </w:p>
    <w:p>
      <w:pPr>
        <w:pStyle w:val="ListBullet"/>
        <w:spacing w:after="40"/>
      </w:pPr>
      <w:r>
        <w:t>The strip chart or electronic log is tamper-evident.</w:t>
      </w:r>
    </w:p>
    <w:p>
      <w:pPr>
        <w:pStyle w:val="Heading4"/>
      </w:pPr>
      <w:r>
        <w:t>PSC Inspection of ODME Records</w:t>
      </w:r>
    </w:p>
    <w:p>
      <w:r>
        <w:t>Port State Control inspectors routinely inspect:</w:t>
      </w:r>
    </w:p>
    <w:p>
      <w:r>
        <w:t>1. ODME printouts/records vs ORB Part II entries.</w:t>
      </w:r>
    </w:p>
    <w:p>
      <w:r>
        <w:t>2. Correlation between dates, positions, and ORB entries.</w:t>
      </w:r>
    </w:p>
    <w:p>
      <w:r>
        <w:t>3. Evidence of any valve bypass operations.</w:t>
      </w:r>
    </w:p>
    <w:p>
      <w:r>
        <w:t>4. Calibration dates for OCM sensors.</w:t>
      </w:r>
    </w:p>
    <w:p>
      <w:r>
        <w:t>5. Battery back-up for ODME (must maintain records on power failure).</w:t>
      </w:r>
    </w:p>
    <w:p>
      <w:r>
        <w:t>---</w:t>
      </w:r>
    </w:p>
    <w:p>
      <w:pPr>
        <w:pStyle w:val="Heading3"/>
      </w:pPr>
      <w:r>
        <w:t>Key Alarm Conditions</w:t>
      </w:r>
    </w:p>
    <w:p>
      <w:r>
        <w:t>| Alarm | Trigger | Action |</w:t>
      </w:r>
    </w:p>
    <w:p>
      <w:r>
        <w:t>|-------|---------|--------|</w:t>
      </w:r>
    </w:p>
    <w:p>
      <w:r>
        <w:t>| Rate Exceedance | &gt;30 l/nm | Auto-trip overboard valve |</w:t>
      </w:r>
    </w:p>
    <w:p>
      <w:r>
        <w:t>| Total Exceeded | &gt;1/30,000 cargo qty | Alarm, stop discharge |</w:t>
      </w:r>
    </w:p>
    <w:p>
      <w:r>
        <w:t>| Within 50nm | Position &lt;50nm | Alarm, no discharge |</w:t>
      </w:r>
    </w:p>
    <w:p>
      <w:r>
        <w:t>| Special Area | Position in list | Alarm, zero discharge |</w:t>
      </w:r>
    </w:p>
    <w:p>
      <w:r>
        <w:t>| ODME Failure | System malfunction | Stop discharge, record failure in ORB |</w:t>
      </w:r>
    </w:p>
    <w:p>
      <w:r>
        <w:t>| Low Speed | Speed &lt;1 knot | Rate calculation unreliable — alarm |</w:t>
      </w:r>
    </w:p>
    <w:p>
      <w:r>
        <w:t>| OCM Fault | Sensor failure | Stop discharge |</w:t>
      </w:r>
    </w:p>
    <w:p>
      <w:r>
        <w:t>---</w:t>
      </w:r>
    </w:p>
    <w:p>
      <w:pPr>
        <w:pStyle w:val="Heading3"/>
      </w:pPr>
      <w:r>
        <w:t>References</w:t>
      </w:r>
    </w:p>
    <w:p>
      <w:pPr>
        <w:pStyle w:val="ListBullet"/>
        <w:spacing w:after="40"/>
      </w:pPr>
      <w:r>
        <w:t>MARPOL Annex I, Regulation 31 — Discharge of Oil from Oil Tankers</w:t>
      </w:r>
    </w:p>
    <w:p>
      <w:pPr>
        <w:pStyle w:val="ListBullet"/>
        <w:spacing w:after="40"/>
      </w:pPr>
      <w:r>
        <w:t>MARPOL Annex I, Regulation 36 — Oil Record Book Part II</w:t>
      </w:r>
    </w:p>
    <w:p>
      <w:pPr>
        <w:pStyle w:val="ListBullet"/>
        <w:spacing w:after="40"/>
      </w:pPr>
      <w:r>
        <w:t>IMO MEPC.108(49) — Revised Guidelines and Specifications for ODME</w:t>
      </w:r>
    </w:p>
    <w:p>
      <w:pPr>
        <w:pStyle w:val="ListBullet"/>
        <w:spacing w:after="40"/>
      </w:pPr>
      <w:r>
        <w:t>IMO MEPC.1/Circ.761 — Guidance on the Application of Regulation 34 and the Protection of Special Areas</w:t>
      </w:r>
    </w:p>
    <w:p>
      <w:pPr>
        <w:pStyle w:val="ListBullet"/>
        <w:spacing w:after="40"/>
      </w:pPr>
      <w:r>
        <w:t>IMO MEPC.55(33) — Guidelines for the Implementation of Regulation 15(3)(c) of MARPOL</w:t>
      </w:r>
    </w:p>
    <w:p>
      <w:pPr>
        <w:pStyle w:val="ListBullet"/>
        <w:spacing w:after="40"/>
      </w:pPr>
      <w:r>
        <w:t>US Coast Guard: MARPOL Implementation and Enforcement Guidance</w:t>
      </w:r>
    </w:p>
    <w:p>
      <w:pPr>
        <w:pStyle w:val="ListBullet"/>
        <w:spacing w:after="40"/>
      </w:pPr>
      <w:r>
        <w:t>ClassNK: Guidance on ODME Installation and Maintenance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