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Oily Water Separator (15 ppm)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15 ppm bilge separator with OCM and automatic 3-way divert valve per MARPOL Annex I Reg.14 and MEPC.107(49) — includes Oil Record Book entry simulation.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15 ppm bilge separator with OCM and automatic 3-way divert valve per MARPOL Annex I Reg.14 and MEPC.107(49) — includes Oil Record Book entry simulation.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Oil Content Monitor (OCM) with real-time ppm display and automatic 15 ppm trip.</w:t>
      </w:r>
    </w:p>
    <w:p>
      <w:pPr>
        <w:pStyle w:val="ListBullet"/>
      </w:pPr>
      <w:r>
        <w:t>Three-way valve auto-divert to bilge holding tank when oil content exceeds 15 ppm.</w:t>
      </w:r>
    </w:p>
    <w:p>
      <w:pPr>
        <w:pStyle w:val="ListBullet"/>
      </w:pPr>
      <w:r>
        <w:t>OCM zero and span calibration procedure simulation.</w:t>
      </w:r>
    </w:p>
    <w:p>
      <w:pPr>
        <w:pStyle w:val="ListBullet"/>
      </w:pPr>
      <w:r>
        <w:t>Oil Record Book (ORB Part I) entry form with volume, position, and signature logging.</w:t>
      </w:r>
    </w:p>
    <w:p>
      <w:pPr>
        <w:pStyle w:val="ListBullet"/>
      </w:pPr>
      <w:r>
        <w:t>Alarms: high oil content, bilge tank high level, pump fault.</w:t>
      </w:r>
    </w:p>
    <w:p>
      <w:pPr>
        <w:pStyle w:val="ListBullet"/>
      </w:pPr>
      <w:r>
        <w:t>Three scenarios: Normal Discharge, High Oil Content Response, Calibration Check.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OWS P&amp;ID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 &amp; GAUGES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VALVE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OCM TREND (ppm)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OIL RECORD BOOK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Oily Water Separator (15 ppm)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MARPOL Annex I — Regulation 14: Control of Discharge of Oil</w:t>
      </w:r>
    </w:p>
    <w:p>
      <w:r>
        <w:t>Reg. 14(1): Any discharge into the sea of oil or oily mixtures from the machinery space bilges of a ship shall be prohibited EXCEPT when all of the following conditions are satisfied:</w:t>
      </w:r>
    </w:p>
    <w:p>
      <w:r>
        <w:t>1. The oily mixture is processed through an oily-water separating equipment.</w:t>
      </w:r>
    </w:p>
    <w:p>
      <w:r>
        <w:t>2. The oil content of the effluent without dilution does not exceed 15 parts per million (15 ppm).</w:t>
      </w:r>
    </w:p>
    <w:p>
      <w:r>
        <w:t>3. The oily mixture does not originate from cargo pump room bilges.</w:t>
      </w:r>
    </w:p>
    <w:p>
      <w:r>
        <w:t>4. In the case of ships of 400 GT and above, the oily mixture is not mixed with oil cargo residues.</w:t>
      </w:r>
    </w:p>
    <w:p>
      <w:pPr>
        <w:pStyle w:val="Heading4"/>
      </w:pPr>
      <w:r>
        <w:t>MARPOL Annex I — Regulation 17: Oil Record Book Part I</w:t>
      </w:r>
    </w:p>
    <w:p>
      <w:r>
        <w:t>All discharges (or accidental/other exceptional discharges) must be recorded in the Oil Record Book (ORB) Part I. Required entries:</w:t>
      </w:r>
    </w:p>
    <w:p>
      <w:pPr>
        <w:pStyle w:val="ListBullet"/>
        <w:spacing w:after="40"/>
      </w:pPr>
      <w:r>
        <w:t>Date, time, and position of ship when discharge commenced and stopped.</w:t>
      </w:r>
    </w:p>
    <w:p>
      <w:pPr>
        <w:pStyle w:val="ListBullet"/>
        <w:spacing w:after="40"/>
      </w:pPr>
      <w:r>
        <w:t>Amount of oily bilge water (in m³) discharged.</w:t>
      </w:r>
    </w:p>
    <w:p>
      <w:pPr>
        <w:pStyle w:val="ListBullet"/>
        <w:spacing w:after="40"/>
      </w:pPr>
      <w:r>
        <w:t>Identity of tank or space from which discharge was made.</w:t>
      </w:r>
    </w:p>
    <w:p>
      <w:pPr>
        <w:pStyle w:val="ListBullet"/>
        <w:spacing w:after="40"/>
      </w:pPr>
      <w:r>
        <w:t>Method of discharge used.</w:t>
      </w:r>
    </w:p>
    <w:p>
      <w:r>
        <w:t>Failure to maintain accurate ORB is a criminal offence under most flag state legislation.</w:t>
      </w:r>
    </w:p>
    <w:p>
      <w:pPr>
        <w:pStyle w:val="Heading4"/>
      </w:pPr>
      <w:r>
        <w:t>MEPC.107(49) — Revised Guidelines and Specifications for Pollution Prevention Equipment</w:t>
      </w:r>
    </w:p>
    <w:p>
      <w:pPr>
        <w:pStyle w:val="ListBullet"/>
        <w:spacing w:after="40"/>
      </w:pPr>
      <w:r>
        <w:t>Requires type-approval of the Oily Water Separator (OWS) system.</w:t>
      </w:r>
    </w:p>
    <w:p>
      <w:pPr>
        <w:pStyle w:val="ListBullet"/>
        <w:spacing w:after="40"/>
      </w:pPr>
      <w:r>
        <w:t>OWS must include an **Oil Content Meter (OCM)** / **Oil Content Monitor (OCM)** set to 15 ppm.</w:t>
      </w:r>
    </w:p>
    <w:p>
      <w:pPr>
        <w:pStyle w:val="ListBullet"/>
        <w:spacing w:after="40"/>
      </w:pPr>
      <w:r>
        <w:t>A **three-way valve** (also called automatic stopping device) must automatically divert overboard flow to bilge tank if oil content exceeds 15 ppm.</w:t>
      </w:r>
    </w:p>
    <w:p>
      <w:pPr>
        <w:pStyle w:val="ListBullet"/>
        <w:spacing w:after="40"/>
      </w:pPr>
      <w:r>
        <w:t>The 15 ppm alarm must be activated before the 15 ppm limit is reached (alarm at ~13 ppm typical).</w:t>
      </w:r>
    </w:p>
    <w:p>
      <w:pPr>
        <w:pStyle w:val="ListBullet"/>
        <w:spacing w:after="40"/>
      </w:pPr>
      <w:r>
        <w:t>Manual override of the three-way valve bypass is a MARPOL violation.</w:t>
      </w:r>
    </w:p>
    <w:p>
      <w:pPr>
        <w:pStyle w:val="Heading4"/>
      </w:pPr>
      <w:r>
        <w:t>MEPC.107(49) — OCM Requirements</w:t>
      </w:r>
    </w:p>
    <w:p>
      <w:pPr>
        <w:pStyle w:val="ListBullet"/>
        <w:spacing w:after="40"/>
      </w:pPr>
      <w:r>
        <w:t>OCM must be capable of continuously monitoring the oil content of the effluent.</w:t>
      </w:r>
    </w:p>
    <w:p>
      <w:pPr>
        <w:pStyle w:val="ListBullet"/>
        <w:spacing w:after="40"/>
      </w:pPr>
      <w:r>
        <w:t>Must record oil content automatically.</w:t>
      </w:r>
    </w:p>
    <w:p>
      <w:pPr>
        <w:pStyle w:val="ListBullet"/>
        <w:spacing w:after="40"/>
      </w:pPr>
      <w:r>
        <w:t>The automatic stopping device must respond within 5 seconds of limit exceedance.</w:t>
      </w:r>
    </w:p>
    <w:p>
      <w:pPr>
        <w:pStyle w:val="ListBullet"/>
        <w:spacing w:after="40"/>
      </w:pPr>
      <w:r>
        <w:t>Zero and span calibration required at least every 12 months.</w:t>
      </w:r>
    </w:p>
    <w:p>
      <w:pPr>
        <w:pStyle w:val="ListBullet"/>
        <w:spacing w:after="40"/>
      </w:pPr>
      <w:r>
        <w:t>Calibration oil: n-hexadecane (C16H34) or equivalent standard.</w:t>
      </w:r>
    </w:p>
    <w:p>
      <w:pPr>
        <w:pStyle w:val="Heading4"/>
      </w:pPr>
      <w:r>
        <w:t>Special Areas (MARPOL Annex I — Regulation 15)</w:t>
      </w:r>
    </w:p>
    <w:p>
      <w:r>
        <w:t>In the following Special Areas, discharge of ANY oily water is prohibited (zero discharge):</w:t>
      </w:r>
    </w:p>
    <w:p>
      <w:pPr>
        <w:pStyle w:val="ListBullet"/>
        <w:spacing w:after="40"/>
      </w:pPr>
      <w:r>
        <w:t>Baltic Sea, Black Sea, Red Sea, Gulfs Area (Persian Gulf/Gulf of Oman), Gulf of Aden, Antarctic Area, North West European Waters, Oman Area, Southern South African Waters.</w:t>
      </w:r>
    </w:p>
    <w:p>
      <w:pPr>
        <w:pStyle w:val="ListBullet"/>
        <w:spacing w:after="40"/>
      </w:pPr>
      <w:r>
        <w:t>In Special Areas: all oily bilge water must be retained on board.</w:t>
      </w:r>
    </w:p>
    <w:p>
      <w:pPr>
        <w:pStyle w:val="Heading4"/>
      </w:pPr>
      <w:r>
        <w:t>Port State Control (PSC) Focus Areas</w:t>
      </w:r>
    </w:p>
    <w:p>
      <w:pPr>
        <w:pStyle w:val="ListBullet"/>
        <w:spacing w:after="40"/>
      </w:pPr>
      <w:r>
        <w:t>Mismatch between ORB entries and actual tank soundings (sounding book).</w:t>
      </w:r>
    </w:p>
    <w:p>
      <w:pPr>
        <w:pStyle w:val="ListBullet"/>
        <w:spacing w:after="40"/>
      </w:pPr>
      <w:r>
        <w:t>Evidence of bypass piping around OWS.</w:t>
      </w:r>
    </w:p>
    <w:p>
      <w:pPr>
        <w:pStyle w:val="ListBullet"/>
        <w:spacing w:after="40"/>
      </w:pPr>
      <w:r>
        <w:t>OCM calibration records.</w:t>
      </w:r>
    </w:p>
    <w:p>
      <w:pPr>
        <w:pStyle w:val="ListBullet"/>
        <w:spacing w:after="40"/>
      </w:pPr>
      <w:r>
        <w:t>Blocked or inoperative automatic stopping device (three-way valve).</w:t>
      </w:r>
    </w:p>
    <w:p>
      <w:pPr>
        <w:pStyle w:val="ListBullet"/>
        <w:spacing w:after="40"/>
      </w:pPr>
      <w:r>
        <w:t>Discrepancy between bunkered fuel and ORB retention/transfer records.</w:t>
      </w:r>
    </w:p>
    <w:p>
      <w:r>
        <w:t>---</w:t>
      </w:r>
    </w:p>
    <w:p>
      <w:pPr>
        <w:pStyle w:val="Heading3"/>
      </w:pPr>
      <w:r>
        <w:t>OWS Equipment — Technical Parameters</w:t>
      </w:r>
    </w:p>
    <w:p>
      <w:pPr>
        <w:pStyle w:val="Heading4"/>
      </w:pPr>
      <w:r>
        <w:t>Typical OWS System (e.g., Victor Marine / RWO type)</w:t>
      </w:r>
    </w:p>
    <w:p>
      <w:r>
        <w:t>| Parameter | Value |</w:t>
      </w:r>
    </w:p>
    <w:p>
      <w:r>
        <w:t>|-----------|-------|</w:t>
      </w:r>
    </w:p>
    <w:p>
      <w:r>
        <w:t>| Capacity | 1.0 m³/h |</w:t>
      </w:r>
    </w:p>
    <w:p>
      <w:r>
        <w:t>| Maximum Inlet Oil Content | 5,000 ppm (pre-separator) |</w:t>
      </w:r>
    </w:p>
    <w:p>
      <w:r>
        <w:t>| Outlet Oil Content | &lt;15 ppm (guaranteed) |</w:t>
      </w:r>
    </w:p>
    <w:p>
      <w:r>
        <w:t>| Operating Pressure | 0.2–0.6 bar |</w:t>
      </w:r>
    </w:p>
    <w:p>
      <w:r>
        <w:t>| Separator Type | Gravity + coalescing filter |</w:t>
      </w:r>
    </w:p>
    <w:p>
      <w:r>
        <w:t>| OCM Response Time | &lt;5 seconds |</w:t>
      </w:r>
    </w:p>
    <w:p>
      <w:r>
        <w:t>| OCM Range | 0–25 ppm |</w:t>
      </w:r>
    </w:p>
    <w:p>
      <w:r>
        <w:t>| OCM Alarm Setting | 15 ppm (auto-trip at 15 ppm) |</w:t>
      </w:r>
    </w:p>
    <w:p>
      <w:r>
        <w:t>| Operating Temperature | 5–40°C |</w:t>
      </w:r>
    </w:p>
    <w:p>
      <w:pPr>
        <w:pStyle w:val="Heading4"/>
      </w:pPr>
      <w:r>
        <w:t>Separator Stages</w:t>
      </w:r>
    </w:p>
    <w:p>
      <w:r>
        <w:t>1. Primary separation chamber: Gravity separation — oil droplets rise to surface, water drains.</w:t>
      </w:r>
    </w:p>
    <w:p>
      <w:r>
        <w:t>2. Coalescing chamber: Fine oil droplets coalesce on oleophilic material (polypropylene media) and rise.</w:t>
      </w:r>
    </w:p>
    <w:p>
      <w:r>
        <w:t>3. Oil content monitor: Samples effluent before discharge; triggers three-way valve on &gt;15 ppm.</w:t>
      </w:r>
    </w:p>
    <w:p>
      <w:r>
        <w:t>4. Three-way valve: OPEN = discharge overboard; DIVERTED = return to bilge holding tank.</w:t>
      </w:r>
    </w:p>
    <w:p>
      <w:r>
        <w:t>---</w:t>
      </w:r>
    </w:p>
    <w:p>
      <w:pPr>
        <w:pStyle w:val="Heading3"/>
      </w:pPr>
      <w:r>
        <w:t>OCM Calibration Procedure (Zero and Span)</w:t>
      </w:r>
    </w:p>
    <w:p>
      <w:pPr>
        <w:pStyle w:val="Heading4"/>
      </w:pPr>
      <w:r>
        <w:t>Zero Calibration</w:t>
      </w:r>
    </w:p>
    <w:p>
      <w:r>
        <w:t>1. Flush OCM cell with clean, oil-free water.</w:t>
      </w:r>
    </w:p>
    <w:p>
      <w:r>
        <w:t>2. Press ZERO on OCM panel.</w:t>
      </w:r>
    </w:p>
    <w:p>
      <w:r>
        <w:t>3. Display should read 0.0 ppm.</w:t>
      </w:r>
    </w:p>
    <w:p>
      <w:r>
        <w:t>4. If deviation &gt;0.5 ppm, repeat flush and re-zero.</w:t>
      </w:r>
    </w:p>
    <w:p>
      <w:r>
        <w:t>5. Record calibration in ORB and maintenance log.</w:t>
      </w:r>
    </w:p>
    <w:p>
      <w:pPr>
        <w:pStyle w:val="Heading4"/>
      </w:pPr>
      <w:r>
        <w:t>Span Calibration</w:t>
      </w:r>
    </w:p>
    <w:p>
      <w:r>
        <w:t>1. Prepare known-concentration reference solution (15 ppm or 10 ppm oil-in-water standard).</w:t>
      </w:r>
    </w:p>
    <w:p>
      <w:r>
        <w:t>2. Introduce reference solution to OCM sample cell.</w:t>
      </w:r>
    </w:p>
    <w:p>
      <w:r>
        <w:t>3. Adjust SPAN potentiometer until OCM reads known concentration.</w:t>
      </w:r>
    </w:p>
    <w:p>
      <w:r>
        <w:t>4. Verify automatic trip activates at 15 ppm.</w:t>
      </w:r>
    </w:p>
    <w:p>
      <w:r>
        <w:t>5. Record calibration certificate number and date in logbook.</w:t>
      </w:r>
    </w:p>
    <w:p>
      <w:pPr>
        <w:pStyle w:val="Heading4"/>
      </w:pPr>
      <w:r>
        <w:t>Calibration Interval</w:t>
      </w:r>
    </w:p>
    <w:p>
      <w:pPr>
        <w:pStyle w:val="ListBullet"/>
        <w:spacing w:after="40"/>
      </w:pPr>
      <w:r>
        <w:t>Mandatory: at least every **12 months** (class survey).</w:t>
      </w:r>
    </w:p>
    <w:p>
      <w:pPr>
        <w:pStyle w:val="ListBullet"/>
        <w:spacing w:after="40"/>
      </w:pPr>
      <w:r>
        <w:t>Recommended: every 6 months operational check.</w:t>
      </w:r>
    </w:p>
    <w:p>
      <w:pPr>
        <w:pStyle w:val="ListBullet"/>
        <w:spacing w:after="40"/>
      </w:pPr>
      <w:r>
        <w:t>After any repair or replacement of OCM sensor.</w:t>
      </w:r>
    </w:p>
    <w:p>
      <w:r>
        <w:t>---</w:t>
      </w:r>
    </w:p>
    <w:p>
      <w:pPr>
        <w:pStyle w:val="Heading3"/>
      </w:pPr>
      <w:r>
        <w:t>Bilge System Layout</w:t>
      </w:r>
    </w:p>
    <w:p>
      <w:pPr>
        <w:pStyle w:val="Heading4"/>
      </w:pPr>
      <w:r>
        <w:t>Typical Engine Room Bilge Sources</w:t>
      </w:r>
    </w:p>
    <w:p>
      <w:r>
        <w:t>| Source | Typical Oiliness |</w:t>
      </w:r>
    </w:p>
    <w:p>
      <w:r>
        <w:t>|--------|-----------------|</w:t>
      </w:r>
    </w:p>
    <w:p>
      <w:r>
        <w:t>| ME crankcase drip tray | High (5,000–50,000 ppm) |</w:t>
      </w:r>
    </w:p>
    <w:p>
      <w:r>
        <w:t>| Purifier sludge overflow | Very high |</w:t>
      </w:r>
    </w:p>
    <w:p>
      <w:r>
        <w:t>| Bilge well accumulation | Variable (100–10,000 ppm) |</w:t>
      </w:r>
    </w:p>
    <w:p>
      <w:r>
        <w:t>| Deck drains | Lower (50–500 ppm) |</w:t>
      </w:r>
    </w:p>
    <w:p>
      <w:r>
        <w:t>| Stern tube packing drip | Medium |</w:t>
      </w:r>
    </w:p>
    <w:p>
      <w:r>
        <w:t>| FW generator condensate | Very low |</w:t>
      </w:r>
    </w:p>
    <w:p>
      <w:pPr>
        <w:pStyle w:val="Heading4"/>
      </w:pPr>
      <w:r>
        <w:t>Bilge Tank Capacity Requirements</w:t>
      </w:r>
    </w:p>
    <w:p>
      <w:pPr>
        <w:pStyle w:val="ListBullet"/>
        <w:spacing w:after="40"/>
      </w:pPr>
      <w:r>
        <w:t>Gross tonnage 400–10,000 GT: no fixed minimum requirement, but sufficient for voyage.</w:t>
      </w:r>
    </w:p>
    <w:p>
      <w:pPr>
        <w:pStyle w:val="ListBullet"/>
        <w:spacing w:after="40"/>
      </w:pPr>
      <w:r>
        <w:t>Company best practice: 7–10 days autonomy without discharge.</w:t>
      </w:r>
    </w:p>
    <w:p>
      <w:pPr>
        <w:pStyle w:val="ListBullet"/>
        <w:spacing w:after="40"/>
      </w:pPr>
      <w:r>
        <w:t>MARPOL requires recording of all transfers in ORB.</w:t>
      </w:r>
    </w:p>
    <w:p>
      <w:r>
        <w:t>---</w:t>
      </w:r>
    </w:p>
    <w:p>
      <w:pPr>
        <w:pStyle w:val="Heading3"/>
      </w:pPr>
      <w:r>
        <w:t>Oil Record Book (ORB) — Required Entries</w:t>
      </w:r>
    </w:p>
    <w:p>
      <w:pPr>
        <w:pStyle w:val="Heading4"/>
      </w:pPr>
      <w:r>
        <w:t>Code C: Collection, Transfer, and Disposal of Oil Residues (Sludge)</w:t>
      </w:r>
    </w:p>
    <w:p>
      <w:pPr>
        <w:pStyle w:val="ListBullet"/>
        <w:spacing w:after="40"/>
      </w:pPr>
      <w:r>
        <w:t>C.1: Amount of oil residue (sludge) collected in retention/settling tank.</w:t>
      </w:r>
    </w:p>
    <w:p>
      <w:pPr>
        <w:pStyle w:val="ListBullet"/>
        <w:spacing w:after="40"/>
      </w:pPr>
      <w:r>
        <w:t>C.2: Method of disposal (shoreside reception, incineration, transfer).</w:t>
      </w:r>
    </w:p>
    <w:p>
      <w:pPr>
        <w:pStyle w:val="ListBullet"/>
        <w:spacing w:after="40"/>
      </w:pPr>
      <w:r>
        <w:t>C.3: Quantity of oil residue remaining.</w:t>
      </w:r>
    </w:p>
    <w:p>
      <w:pPr>
        <w:pStyle w:val="Heading4"/>
      </w:pPr>
      <w:r>
        <w:t>Code D: Non-Automatic Discharge of Bilge Water</w:t>
      </w:r>
    </w:p>
    <w:p>
      <w:pPr>
        <w:pStyle w:val="ListBullet"/>
        <w:spacing w:after="40"/>
      </w:pPr>
      <w:r>
        <w:t>D.1: Quantity discharged (m³).</w:t>
      </w:r>
    </w:p>
    <w:p>
      <w:pPr>
        <w:pStyle w:val="ListBullet"/>
        <w:spacing w:after="40"/>
      </w:pPr>
      <w:r>
        <w:t>D.2: Time started/stopped.</w:t>
      </w:r>
    </w:p>
    <w:p>
      <w:pPr>
        <w:pStyle w:val="ListBullet"/>
        <w:spacing w:after="40"/>
      </w:pPr>
      <w:r>
        <w:t>D.3: Ship's position.</w:t>
      </w:r>
    </w:p>
    <w:p>
      <w:pPr>
        <w:pStyle w:val="ListBullet"/>
        <w:spacing w:after="40"/>
      </w:pPr>
      <w:r>
        <w:t>D.4: Method of disposal / OWS used.</w:t>
      </w:r>
    </w:p>
    <w:p>
      <w:pPr>
        <w:pStyle w:val="Heading4"/>
      </w:pPr>
      <w:r>
        <w:t>Code F: Condition of OWS/OCM Equipment</w:t>
      </w:r>
    </w:p>
    <w:p>
      <w:pPr>
        <w:pStyle w:val="ListBullet"/>
        <w:spacing w:after="40"/>
      </w:pPr>
      <w:r>
        <w:t>F.1: Period of failure of OWS/OCM.</w:t>
      </w:r>
    </w:p>
    <w:p>
      <w:pPr>
        <w:pStyle w:val="ListBullet"/>
        <w:spacing w:after="40"/>
      </w:pPr>
      <w:r>
        <w:t>F.2: Reason for failure.</w:t>
      </w:r>
    </w:p>
    <w:p>
      <w:pPr>
        <w:pStyle w:val="ListBullet"/>
        <w:spacing w:after="40"/>
      </w:pPr>
      <w:r>
        <w:t>F.3: Period and reason any OWS/OCM not in use.</w:t>
      </w:r>
    </w:p>
    <w:p>
      <w:r>
        <w:t>---</w:t>
      </w:r>
    </w:p>
    <w:p>
      <w:pPr>
        <w:pStyle w:val="Heading3"/>
      </w:pPr>
      <w:r>
        <w:t>Operational Checks Before OWS Operation</w:t>
      </w:r>
    </w:p>
    <w:p>
      <w:r>
        <w:t>1. Confirm bilge holding tank level — adequate space for diversion.</w:t>
      </w:r>
    </w:p>
    <w:p>
      <w:r>
        <w:t>2. Check OWS filter element condition.</w:t>
      </w:r>
    </w:p>
    <w:p>
      <w:r>
        <w:t>3. Verify OCM zero/span calibration date is within 12 months.</w:t>
      </w:r>
    </w:p>
    <w:p>
      <w:r>
        <w:t>4. Confirm three-way valve (automatic stopping device) functional.</w:t>
      </w:r>
    </w:p>
    <w:p>
      <w:r>
        <w:t>5. Verify bilge pump operational, no cavitation.</w:t>
      </w:r>
    </w:p>
    <w:p>
      <w:r>
        <w:t>6. Check overboard discharge valve (not in port, not in special area, distance from land).</w:t>
      </w:r>
    </w:p>
    <w:p>
      <w:r>
        <w:t>7. Confirm position: &gt;12 nm from nearest land for machinery space bilge.</w:t>
      </w:r>
    </w:p>
    <w:p>
      <w:r>
        <w:t>---</w:t>
      </w:r>
    </w:p>
    <w:p>
      <w:pPr>
        <w:pStyle w:val="Heading3"/>
      </w:pPr>
      <w:r>
        <w:t>Distance Restrictions</w:t>
      </w:r>
    </w:p>
    <w:p>
      <w:r>
        <w:t>| Area | Restriction |</w:t>
      </w:r>
    </w:p>
    <w:p>
      <w:r>
        <w:t>|------|------------|</w:t>
      </w:r>
    </w:p>
    <w:p>
      <w:r>
        <w:t>| MARPOL Special Areas | Zero discharge |</w:t>
      </w:r>
    </w:p>
    <w:p>
      <w:r>
        <w:t>| Other areas | ≥12 nm from nearest land, ≤15 ppm |</w:t>
      </w:r>
    </w:p>
    <w:p>
      <w:r>
        <w:t>| In port | No discharge (regardless of content) |</w:t>
      </w:r>
    </w:p>
    <w:p>
      <w:r>
        <w:t>| At anchor | No discharge |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MARPOL Annex I, Regulation 14 — Control of Discharge of Oil</w:t>
      </w:r>
    </w:p>
    <w:p>
      <w:pPr>
        <w:pStyle w:val="ListBullet"/>
        <w:spacing w:after="40"/>
      </w:pPr>
      <w:r>
        <w:t>MARPOL Annex I, Regulation 17 — Oil Record Book</w:t>
      </w:r>
    </w:p>
    <w:p>
      <w:pPr>
        <w:pStyle w:val="ListBullet"/>
        <w:spacing w:after="40"/>
      </w:pPr>
      <w:r>
        <w:t>IMO MEPC.107(49) — Revised Guidelines for OWS and OCM</w:t>
      </w:r>
    </w:p>
    <w:p>
      <w:pPr>
        <w:pStyle w:val="ListBullet"/>
        <w:spacing w:after="40"/>
      </w:pPr>
      <w:r>
        <w:t>IMO MEPC.1/Circ.511 — Guidance on Applicable Requirements for OWS</w:t>
      </w:r>
    </w:p>
    <w:p>
      <w:pPr>
        <w:pStyle w:val="ListBullet"/>
        <w:spacing w:after="40"/>
      </w:pPr>
      <w:r>
        <w:t>IMO MEPC.1/Circ.642 — Effective implementation of existing MARPOL requirements</w:t>
      </w:r>
    </w:p>
    <w:p>
      <w:pPr>
        <w:pStyle w:val="ListBullet"/>
        <w:spacing w:after="40"/>
      </w:pPr>
      <w:r>
        <w:t>IACS Rec. 97 — Guide for Oil Record Book Keeping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