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Ozone Treatment BWTS Simulator</w:t>
      </w:r>
    </w:p>
    <w:p>
      <w:pPr>
        <w:jc w:val="center"/>
      </w:pPr>
      <w:r>
        <w:rPr>
          <w:color w:val="646464"/>
          <w:sz w:val="24"/>
        </w:rPr>
        <w:t>Ballast Water Treatment</w:t>
      </w:r>
    </w:p>
    <w:p>
      <w:pPr>
        <w:jc w:val="center"/>
      </w:pPr>
      <w:r>
        <w:rPr>
          <w:color w:val="505050"/>
          <w:sz w:val="20"/>
        </w:rPr>
        <w:t>Ozone treatment BWTS — G9 type approved. Corona discharge generator, air dryer, CT value monitoring, and mandatory off-gas destructor interlock.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Ozone treatment BWTS — G9 type approved. Corona discharge generator, air dryer, CT value monitoring, and mandatory off-gas destructor interlock.</w:t>
      </w:r>
    </w:p>
    <w:p>
      <w:pPr>
        <w:pStyle w:val="Heading2"/>
      </w:pPr>
      <w:r>
        <w:t>Key Features</w:t>
      </w:r>
    </w:p>
    <w:p>
      <w:pPr>
        <w:pStyle w:val="ListBullet"/>
      </w:pPr>
      <w:r>
        <w:t>Feed gas selector (AIR/O₂), CT target ≥3 mg·min/L with live contact time.</w:t>
      </w:r>
    </w:p>
    <w:p>
      <w:pPr>
        <w:pStyle w:val="ListBullet"/>
      </w:pPr>
      <w:r>
        <w:t>O₃ in air safety monitor with TWA/STEL alarm and evacuation banner.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p>
      <w:r>
        <w:t>Panel information not available for this simulator.</w:t>
      </w:r>
    </w:p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