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
      <w:pPr>
        <w:jc w:val="center"/>
      </w:pPr>
      <w:r>
        <w:rPr>
          <w:b/>
          <w:color w:val="00788C"/>
          <w:sz w:val="28"/>
        </w:rPr>
        <w:t>BlueSim Training Guide</w:t>
      </w:r>
    </w:p>
    <w:p>
      <w:pPr>
        <w:jc w:val="center"/>
      </w:pPr>
      <w:r>
        <w:rPr>
          <w:b/>
          <w:sz w:val="48"/>
        </w:rPr>
        <w:t>Radar / ARPA Simulator</w:t>
      </w:r>
    </w:p>
    <w:p>
      <w:pPr>
        <w:jc w:val="center"/>
      </w:pPr>
      <w:r>
        <w:rPr>
          <w:color w:val="646464"/>
          <w:sz w:val="24"/>
        </w:rPr>
        <w:t>Bridge &amp; Navigation</w:t>
      </w:r>
    </w:p>
    <w:p>
      <w:pPr>
        <w:jc w:val="center"/>
      </w:pPr>
      <w:r>
        <w:rPr>
          <w:color w:val="505050"/>
          <w:sz w:val="20"/>
        </w:rPr>
        <w:t>Radar and ARPA training covering PPI interpretation, target acquisition, CPA/TCPA assessment, clutter control, and COLREGS collision avoidance.</w:t>
      </w:r>
    </w:p>
    <w:p>
      <w:r>
        <w:br w:type="page"/>
      </w:r>
    </w:p>
    <w:p>
      <w:pPr>
        <w:pStyle w:val="Heading1"/>
      </w:pPr>
      <w:r>
        <w:t>1. Display Requirements</w:t>
      </w:r>
    </w:p>
    <w:tbl>
      <w:tblPr>
        <w:tblStyle w:val="LightGrid-Accent1"/>
        <w:tblW w:type="auto" w:w="0"/>
        <w:jc w:val="left"/>
        <w:tblLook w:firstColumn="1" w:firstRow="1" w:lastColumn="0" w:lastRow="0" w:noHBand="0" w:noVBand="1" w:val="04A0"/>
      </w:tblPr>
      <w:tblGrid>
        <w:gridCol w:w="4320"/>
        <w:gridCol w:w="4320"/>
      </w:tblGrid>
      <w:tr>
        <w:tc>
          <w:tcPr>
            <w:tcW w:type="dxa" w:w="4320"/>
          </w:tcPr>
          <w:p>
            <w:r>
              <w:t>Optimal Resolution</w:t>
            </w:r>
          </w:p>
        </w:tc>
        <w:tc>
          <w:tcPr>
            <w:tcW w:type="dxa" w:w="4320"/>
          </w:tcPr>
          <w:p>
            <w:r>
              <w:t>1920 x 1080 (Full HD)</w:t>
            </w:r>
          </w:p>
        </w:tc>
      </w:tr>
      <w:tr>
        <w:tc>
          <w:tcPr>
            <w:tcW w:type="dxa" w:w="4320"/>
          </w:tcPr>
          <w:p>
            <w:r>
              <w:t>Minimum Resolution</w:t>
            </w:r>
          </w:p>
        </w:tc>
        <w:tc>
          <w:tcPr>
            <w:tcW w:type="dxa" w:w="4320"/>
          </w:tcPr>
          <w:p>
            <w:r>
              <w:t>1366 x 768</w:t>
            </w:r>
          </w:p>
        </w:tc>
      </w:tr>
      <w:tr>
        <w:tc>
          <w:tcPr>
            <w:tcW w:type="dxa" w:w="4320"/>
          </w:tcPr>
          <w:p>
            <w:r>
              <w:t>Aspect Ratio</w:t>
            </w:r>
          </w:p>
        </w:tc>
        <w:tc>
          <w:tcPr>
            <w:tcW w:type="dxa" w:w="4320"/>
          </w:tcPr>
          <w:p>
            <w:r>
              <w:t>16:9 (recommended) or 16:10</w:t>
            </w:r>
          </w:p>
        </w:tc>
      </w:tr>
      <w:tr>
        <w:tc>
          <w:tcPr>
            <w:tcW w:type="dxa" w:w="4320"/>
          </w:tcPr>
          <w:p>
            <w:r>
              <w:t>Browser</w:t>
            </w:r>
          </w:p>
        </w:tc>
        <w:tc>
          <w:tcPr>
            <w:tcW w:type="dxa" w:w="4320"/>
          </w:tcPr>
          <w:p>
            <w:r>
              <w:t>Chrome 90+, Firefox 90+, Edge 90+ (fullscreen recommended)</w:t>
            </w:r>
          </w:p>
        </w:tc>
      </w:tr>
      <w:tr>
        <w:tc>
          <w:tcPr>
            <w:tcW w:type="dxa" w:w="4320"/>
          </w:tcPr>
          <w:p>
            <w:r>
              <w:t>Input</w:t>
            </w:r>
          </w:p>
        </w:tc>
        <w:tc>
          <w:tcPr>
            <w:tcW w:type="dxa" w:w="4320"/>
          </w:tcPr>
          <w:p>
            <w:r>
              <w:t>Mouse + keyboard (touchscreen not supported)</w:t>
            </w:r>
          </w:p>
        </w:tc>
      </w:tr>
    </w:tbl>
    <w:p/>
    <w:p>
      <w:r>
        <w:rPr>
          <w:b/>
        </w:rPr>
        <w:t xml:space="preserve">Note: </w:t>
      </w:r>
      <w:r>
        <w:t>The simulator is designed for desktop use. On screens below 980 x 600 px, a "Screen Too Small" notice will appear. For the best experience, press F11 for fullscreen mode after launching the simulator.</w:t>
      </w:r>
    </w:p>
    <w:p>
      <w:pPr>
        <w:pStyle w:val="Heading1"/>
      </w:pPr>
      <w:r>
        <w:t>2. Simulator Overview</w:t>
      </w:r>
    </w:p>
    <w:p>
      <w:r>
        <w:t>Radar and ARPA training covering PPI interpretation, target acquisition, CPA/TCPA assessment, clutter control, and COLREGS collision avoidance.</w:t>
      </w:r>
    </w:p>
    <w:p>
      <w:pPr>
        <w:pStyle w:val="Heading2"/>
      </w:pPr>
      <w:r>
        <w:t>Key Features</w:t>
      </w:r>
    </w:p>
    <w:p>
      <w:pPr>
        <w:pStyle w:val="ListBullet"/>
      </w:pPr>
      <w:r>
        <w:t>Animated circular PPI with rotating sweep and radar blips.</w:t>
      </w:r>
    </w:p>
    <w:p>
      <w:pPr>
        <w:pStyle w:val="ListBullet"/>
      </w:pPr>
      <w:r>
        <w:t>ARPA target acquisition with CPA/TCPA computation and alarms.</w:t>
      </w:r>
    </w:p>
    <w:p>
      <w:pPr>
        <w:pStyle w:val="ListBullet"/>
      </w:pPr>
      <w:r>
        <w:t>EBL and VRM controls for bearing and range measurement.</w:t>
      </w:r>
    </w:p>
    <w:p>
      <w:pPr>
        <w:pStyle w:val="ListBullet"/>
      </w:pPr>
      <w:r>
        <w:t>Trial manoeuvre panel to evaluate course/speed changes.</w:t>
      </w:r>
    </w:p>
    <w:p>
      <w:pPr>
        <w:pStyle w:val="ListBullet"/>
      </w:pPr>
      <w:r>
        <w:t>Sea clutter, rain clutter, and gain adjustment simulation.</w:t>
      </w:r>
    </w:p>
    <w:p>
      <w:pPr>
        <w:pStyle w:val="Heading1"/>
      </w:pPr>
      <w:r>
        <w:t>3. Interface Layout</w:t>
      </w:r>
    </w:p>
    <w:p>
      <w:r>
        <w:t>The simulator uses a multi-panel layout with the following regions:</w:t>
      </w:r>
    </w:p>
    <w:tbl>
      <w:tblPr>
        <w:tblStyle w:val="LightGrid-Accent1"/>
        <w:tblW w:type="auto" w:w="0"/>
        <w:tblLook w:firstColumn="1" w:firstRow="1" w:lastColumn="0" w:lastRow="0" w:noHBand="0" w:noVBand="1" w:val="04A0"/>
      </w:tblPr>
      <w:tblGrid>
        <w:gridCol w:w="4320"/>
        <w:gridCol w:w="4320"/>
      </w:tblGrid>
      <w:tr>
        <w:tc>
          <w:tcPr>
            <w:tcW w:type="dxa" w:w="4320"/>
          </w:tcPr>
          <w:p>
            <w:r>
              <w:rPr>
                <w:b/>
              </w:rPr>
              <w:t>Panel</w:t>
            </w:r>
          </w:p>
        </w:tc>
        <w:tc>
          <w:tcPr>
            <w:tcW w:type="dxa" w:w="4320"/>
          </w:tcPr>
          <w:p>
            <w:r>
              <w:rPr>
                <w:b/>
              </w:rPr>
              <w:t>Purpose</w:t>
            </w:r>
          </w:p>
        </w:tc>
      </w:tr>
      <w:tr>
        <w:tc>
          <w:tcPr>
            <w:tcW w:type="dxa" w:w="4320"/>
          </w:tcPr>
          <w:p>
            <w:r>
              <w:t>EXIT</w:t>
            </w:r>
          </w:p>
        </w:tc>
        <w:tc>
          <w:tcPr>
            <w:tcW w:type="dxa" w:w="4320"/>
          </w:tcPr>
          <w:p>
            <w:r>
              <w:t>Displays real-time system data, controls, and status indicators.</w:t>
            </w:r>
          </w:p>
        </w:tc>
      </w:tr>
      <w:tr>
        <w:tc>
          <w:tcPr>
            <w:tcW w:type="dxa" w:w="4320"/>
          </w:tcPr>
          <w:p>
            <w:r>
              <w:t>RADAR CONTROLS</w:t>
            </w:r>
          </w:p>
        </w:tc>
        <w:tc>
          <w:tcPr>
            <w:tcW w:type="dxa" w:w="4320"/>
          </w:tcPr>
          <w:p>
            <w:r>
              <w:t>Displays real-time system data, controls, and status indicators.</w:t>
            </w:r>
          </w:p>
        </w:tc>
      </w:tr>
      <w:tr>
        <w:tc>
          <w:tcPr>
            <w:tcW w:type="dxa" w:w="4320"/>
          </w:tcPr>
          <w:p>
            <w:r>
              <w:t>PPI DISPLAY —</w:t>
            </w:r>
          </w:p>
        </w:tc>
        <w:tc>
          <w:tcPr>
            <w:tcW w:type="dxa" w:w="4320"/>
          </w:tcPr>
          <w:p>
            <w:r>
              <w:t>Displays real-time system data, controls, and status indicators.</w:t>
            </w:r>
          </w:p>
        </w:tc>
      </w:tr>
      <w:tr>
        <w:tc>
          <w:tcPr>
            <w:tcW w:type="dxa" w:w="4320"/>
          </w:tcPr>
          <w:p>
            <w:r>
              <w:t>ARPA TARGETS</w:t>
            </w:r>
          </w:p>
        </w:tc>
        <w:tc>
          <w:tcPr>
            <w:tcW w:type="dxa" w:w="4320"/>
          </w:tcPr>
          <w:p>
            <w:r>
              <w:t>Displays real-time system data, controls, and status indicators.</w:t>
            </w:r>
          </w:p>
        </w:tc>
      </w:tr>
      <w:tr>
        <w:tc>
          <w:tcPr>
            <w:tcW w:type="dxa" w:w="4320"/>
          </w:tcPr>
          <w:p>
            <w:r>
              <w:t>ALARMS</w:t>
            </w:r>
          </w:p>
        </w:tc>
        <w:tc>
          <w:tcPr>
            <w:tcW w:type="dxa" w:w="4320"/>
          </w:tcPr>
          <w:p>
            <w:r>
              <w:t>Displays real-time system data, controls, and status indicators.</w:t>
            </w:r>
          </w:p>
        </w:tc>
      </w:tr>
    </w:tbl>
    <w:p/>
    <w:p>
      <w:r>
        <w:rPr>
          <w:b/>
        </w:rPr>
        <w:t xml:space="preserve">Header Bar: </w:t>
      </w:r>
      <w:r>
        <w:t>Shows simulator title, regulatory reference, live clock, fullscreen toggle, and exit button.</w:t>
      </w:r>
    </w:p>
    <w:p>
      <w:r>
        <w:rPr>
          <w:b/>
        </w:rPr>
        <w:t xml:space="preserve">Left Panel: </w:t>
      </w:r>
      <w:r>
        <w:t>System gauges, valve controls, and operational parameters.</w:t>
      </w:r>
    </w:p>
    <w:p>
      <w:r>
        <w:rPr>
          <w:b/>
        </w:rPr>
        <w:t xml:space="preserve">Center Panel: </w:t>
      </w:r>
      <w:r>
        <w:t>P&amp;ID schematic or main visual display (canvas/SVG).</w:t>
      </w:r>
    </w:p>
    <w:p>
      <w:r>
        <w:rPr>
          <w:b/>
        </w:rPr>
        <w:t xml:space="preserve">Right Panel: </w:t>
      </w:r>
      <w:r>
        <w:t>Alarm management, emergency controls, and scenario buttons.</w:t>
      </w:r>
    </w:p>
    <w:p>
      <w:r>
        <w:rPr>
          <w:b/>
        </w:rPr>
        <w:t xml:space="preserve">Bottom Panels: </w:t>
      </w:r>
      <w:r>
        <w:t>Trend charts, gas detection, scenario checklists, and supplementary data.</w:t>
      </w:r>
    </w:p>
    <w:p>
      <w:pPr>
        <w:pStyle w:val="Heading1"/>
      </w:pPr>
      <w:r>
        <w:t>4. System Components</w:t>
      </w:r>
    </w:p>
    <w:p>
      <w:pPr>
        <w:pStyle w:val="Heading1"/>
      </w:pPr>
      <w:r>
        <w:t>5. Training Scenarios</w:t>
      </w:r>
    </w:p>
    <w:p>
      <w:r>
        <w:t>Scenario information will be displayed in the simulator modal on launch. Follow the on-screen checklist to complete each training objective.</w:t>
      </w:r>
    </w:p>
    <w:p>
      <w:pPr>
        <w:pStyle w:val="Heading1"/>
      </w:pPr>
      <w:r>
        <w:t>6. Emergency Procedures</w:t>
      </w:r>
    </w:p>
    <w:p>
      <w:r>
        <w:t>When an alarm condition occurs:</w:t>
      </w:r>
    </w:p>
    <w:p>
      <w:r>
        <w:rPr>
          <w:b/>
        </w:rPr>
        <w:t xml:space="preserve">1. </w:t>
      </w:r>
      <w:r>
        <w:t>Identify the alarm in the Alarm Management panel (right side).</w:t>
      </w:r>
    </w:p>
    <w:p>
      <w:r>
        <w:rPr>
          <w:b/>
        </w:rPr>
        <w:t xml:space="preserve">2. </w:t>
      </w:r>
      <w:r>
        <w:t>Acknowledge the alarm by clicking on it.</w:t>
      </w:r>
    </w:p>
    <w:p>
      <w:r>
        <w:rPr>
          <w:b/>
        </w:rPr>
        <w:t xml:space="preserve">3. </w:t>
      </w:r>
      <w:r>
        <w:t>Assess the severity: WARNING (amber) requires monitoring; ALARM (red) requires immediate action.</w:t>
      </w:r>
    </w:p>
    <w:p>
      <w:r>
        <w:rPr>
          <w:b/>
        </w:rPr>
        <w:t xml:space="preserve">4. </w:t>
      </w:r>
      <w:r>
        <w:t>If Emergency Shutdown (ESD) is required, press the ESD button.</w:t>
      </w:r>
    </w:p>
    <w:p>
      <w:r>
        <w:rPr>
          <w:b/>
        </w:rPr>
        <w:t xml:space="preserve">5. </w:t>
      </w:r>
      <w:r>
        <w:t>Follow the scenario checklist for step-by-step response.</w:t>
      </w:r>
    </w:p>
    <w:p>
      <w:r>
        <w:rPr>
          <w:b/>
        </w:rPr>
        <w:t xml:space="preserve">6. </w:t>
      </w:r>
      <w:r>
        <w:t>After resolving the condition, use the RESET button to restore normal operations.</w:t>
      </w:r>
    </w:p>
    <w:p>
      <w:pPr>
        <w:pStyle w:val="Heading1"/>
      </w:pPr>
      <w:r>
        <w:t>7. Reference Documentation</w:t>
      </w:r>
    </w:p>
    <w:p>
      <w:pPr>
        <w:pStyle w:val="Heading2"/>
      </w:pPr>
      <w:r>
        <w:t>reference</w:t>
      </w:r>
    </w:p>
    <w:p>
      <w:pPr>
        <w:pStyle w:val="Heading2"/>
      </w:pPr>
      <w:r>
        <w:t>Radar / ARPA — Technical Reference</w:t>
      </w:r>
    </w:p>
    <w:p>
      <w:pPr>
        <w:pStyle w:val="Heading3"/>
      </w:pPr>
      <w:r>
        <w:t>Overview</w:t>
      </w:r>
    </w:p>
    <w:p>
      <w:r>
        <w:t>Radar (Radio Detection And Ranging) combined with ARPA (Automatic Radar Plotting Aid) provides the watchkeeper with information about other vessels' movements and supports collision avoidance decisions under COLREGS. This simulator trains operators on PPI interpretation, target acquisition, CPA/TCPA assessment, and trial manoeuvre.</w:t>
      </w:r>
    </w:p>
    <w:p>
      <w:pPr>
        <w:pStyle w:val="Heading3"/>
      </w:pPr>
      <w:r>
        <w:t>Regulatory Framework</w:t>
      </w:r>
    </w:p>
    <w:p>
      <w:pPr>
        <w:pStyle w:val="ListBullet"/>
        <w:spacing w:after="40"/>
      </w:pPr>
      <w:r>
        <w:t>**SOLAS V/Regulation 19** — Carriage requirements for navigational equipment</w:t>
      </w:r>
    </w:p>
    <w:p>
      <w:pPr>
        <w:pStyle w:val="ListBullet"/>
        <w:spacing w:after="40"/>
      </w:pPr>
      <w:r>
        <w:t>**IMO MSC.192(79)** — Performance standards for radar equipment</w:t>
      </w:r>
    </w:p>
    <w:p>
      <w:pPr>
        <w:pStyle w:val="ListBullet"/>
        <w:spacing w:after="40"/>
      </w:pPr>
      <w:r>
        <w:t>**COLREGS Rule 7** — Risk of collision</w:t>
      </w:r>
    </w:p>
    <w:p>
      <w:pPr>
        <w:pStyle w:val="ListBullet"/>
        <w:spacing w:after="40"/>
      </w:pPr>
      <w:r>
        <w:t>**COLREGS Rule 8** — Action to avoid collision</w:t>
      </w:r>
    </w:p>
    <w:p>
      <w:pPr>
        <w:pStyle w:val="ListBullet"/>
        <w:spacing w:after="40"/>
      </w:pPr>
      <w:r>
        <w:t>**COLREGS Rule 19** — Conduct in restricted visibility</w:t>
      </w:r>
    </w:p>
    <w:p>
      <w:pPr>
        <w:pStyle w:val="ListBullet"/>
        <w:spacing w:after="40"/>
      </w:pPr>
      <w:r>
        <w:t>**STCW A-II/1** — Watch officer competencies</w:t>
      </w:r>
    </w:p>
    <w:p>
      <w:pPr>
        <w:pStyle w:val="Heading3"/>
      </w:pPr>
      <w:r>
        <w:t>Radar Principles</w:t>
      </w:r>
    </w:p>
    <w:p>
      <w:r>
        <w:t>| Term | Definition |</w:t>
      </w:r>
    </w:p>
    <w:p>
      <w:r>
        <w:t>|------|-----------|</w:t>
      </w:r>
    </w:p>
    <w:p>
      <w:r>
        <w:t>| PPI | Plan Position Indicator — circular display with own ship at centre |</w:t>
      </w:r>
    </w:p>
    <w:p>
      <w:r>
        <w:t>| Sweep | Rotating antenna beam; one revolution = antenna rotation period |</w:t>
      </w:r>
    </w:p>
    <w:p>
      <w:r>
        <w:t>| Clutter | Sea/rain returns that can mask targets |</w:t>
      </w:r>
    </w:p>
    <w:p>
      <w:r>
        <w:t>| Shadow Sector | Area astern of funnel where returns are masked |</w:t>
      </w:r>
    </w:p>
    <w:p>
      <w:r>
        <w:t>| Blind Arc | Sector where beam is obstructed |</w:t>
      </w:r>
    </w:p>
    <w:p>
      <w:pPr>
        <w:pStyle w:val="Heading3"/>
      </w:pPr>
      <w:r>
        <w:t>ARPA Parameters</w:t>
      </w:r>
    </w:p>
    <w:p>
      <w:r>
        <w:t>| Parameter | Description | Units | Alarm Threshold |</w:t>
      </w:r>
    </w:p>
    <w:p>
      <w:r>
        <w:t>|-----------|-------------|-------|-----------------|</w:t>
      </w:r>
    </w:p>
    <w:p>
      <w:r>
        <w:t>| CPA | Closest Point of Approach | nm | 0.5 nm (adjustable) |</w:t>
      </w:r>
    </w:p>
    <w:p>
      <w:r>
        <w:t>| TCPA | Time to CPA | minutes | 12 min (adjustable) |</w:t>
      </w:r>
    </w:p>
    <w:p>
      <w:r>
        <w:t>| True Course | Calculated target course (true) | degrees | — |</w:t>
      </w:r>
    </w:p>
    <w:p>
      <w:r>
        <w:t>| True Speed | Calculated target speed | knots | — |</w:t>
      </w:r>
    </w:p>
    <w:p>
      <w:r>
        <w:t>| BCR | Bow Crossing Range | nm | — |</w:t>
      </w:r>
    </w:p>
    <w:p>
      <w:r>
        <w:t>| BCT | Bow Crossing Time | minutes | — |</w:t>
      </w:r>
    </w:p>
    <w:p>
      <w:pPr>
        <w:pStyle w:val="Heading3"/>
      </w:pPr>
      <w:r>
        <w:t>Operational Modes</w:t>
      </w:r>
    </w:p>
    <w:p>
      <w:r>
        <w:t>| Mode | Description |</w:t>
      </w:r>
    </w:p>
    <w:p>
      <w:r>
        <w:t>|------|-------------|</w:t>
      </w:r>
    </w:p>
    <w:p>
      <w:r>
        <w:t>| North Up | Chart orientation fixed, north at top |</w:t>
      </w:r>
    </w:p>
    <w:p>
      <w:r>
        <w:t>| Head Up | Own vessel heading at top; display rotates with turn |</w:t>
      </w:r>
    </w:p>
    <w:p>
      <w:r>
        <w:t>| Course Up | Selected course at top |</w:t>
      </w:r>
    </w:p>
    <w:p>
      <w:pPr>
        <w:pStyle w:val="Heading3"/>
      </w:pPr>
      <w:r>
        <w:t>Range Scales</w:t>
      </w:r>
    </w:p>
    <w:p>
      <w:r>
        <w:t>| Scale | Ring Spacing | Typical Use |</w:t>
      </w:r>
    </w:p>
    <w:p>
      <w:r>
        <w:t>|-------|-------------|-------------|</w:t>
      </w:r>
    </w:p>
    <w:p>
      <w:r>
        <w:t>| 0.5 nm | 0.1 nm | Berthing, harbour |</w:t>
      </w:r>
    </w:p>
    <w:p>
      <w:r>
        <w:t>| 1 nm | 0.25 nm | Harbour approach |</w:t>
      </w:r>
    </w:p>
    <w:p>
      <w:r>
        <w:t>| 2 nm | 0.5 nm | Coastal |</w:t>
      </w:r>
    </w:p>
    <w:p>
      <w:r>
        <w:t>| 4 nm | 1 nm | Normal watch |</w:t>
      </w:r>
    </w:p>
    <w:p>
      <w:r>
        <w:t>| 8 nm | 2 nm | Ocean |</w:t>
      </w:r>
    </w:p>
    <w:p>
      <w:r>
        <w:t>| 16 nm | 4 nm | Long range |</w:t>
      </w:r>
    </w:p>
    <w:p>
      <w:pPr>
        <w:pStyle w:val="Heading3"/>
      </w:pPr>
      <w:r>
        <w:t>Clutter Controls</w:t>
      </w:r>
    </w:p>
    <w:p>
      <w:r>
        <w:t>| Control | Purpose |</w:t>
      </w:r>
    </w:p>
    <w:p>
      <w:r>
        <w:t>|---------|---------|</w:t>
      </w:r>
    </w:p>
    <w:p>
      <w:r>
        <w:t>| Sea Clutter (STC) | Suppresses near-range sea returns |</w:t>
      </w:r>
    </w:p>
    <w:p>
      <w:r>
        <w:t>| Rain Clutter (FTC) | Suppresses precipitation echoes |</w:t>
      </w:r>
    </w:p>
    <w:p>
      <w:r>
        <w:t>| Gain | Overall receiver sensitivity |</w:t>
      </w:r>
    </w:p>
    <w:p>
      <w:pPr>
        <w:pStyle w:val="Heading3"/>
      </w:pPr>
      <w:r>
        <w:t>ARPA Target States</w:t>
      </w:r>
    </w:p>
    <w:p>
      <w:pPr>
        <w:pStyle w:val="ListBullet"/>
        <w:spacing w:after="40"/>
      </w:pPr>
      <w:r>
        <w:t>**Acquired** — Tracked by ARPA; CPA/TCPA calculated</w:t>
      </w:r>
    </w:p>
    <w:p>
      <w:pPr>
        <w:pStyle w:val="ListBullet"/>
        <w:spacing w:after="40"/>
      </w:pPr>
      <w:r>
        <w:t>**Lost** — Target tracking lost; alarm generated</w:t>
      </w:r>
    </w:p>
    <w:p>
      <w:pPr>
        <w:pStyle w:val="ListBullet"/>
        <w:spacing w:after="40"/>
      </w:pPr>
      <w:r>
        <w:t>**Dangerous** — CPA or TCPA below set threshold</w:t>
      </w:r>
    </w:p>
    <w:p>
      <w:pPr>
        <w:pStyle w:val="ListBullet"/>
        <w:spacing w:after="40"/>
      </w:pPr>
      <w:r>
        <w:t>**Trial** — Temporary target for trial manoeuvre</w:t>
      </w:r>
    </w:p>
    <w:p>
      <w:pPr>
        <w:pStyle w:val="Heading3"/>
      </w:pPr>
      <w:r>
        <w:t>Trial Manoeuvre Procedure</w:t>
      </w:r>
    </w:p>
    <w:p>
      <w:r>
        <w:t>1. Select trial mode</w:t>
      </w:r>
    </w:p>
    <w:p>
      <w:r>
        <w:t>2. Enter proposed own-ship course change or speed change</w:t>
      </w:r>
    </w:p>
    <w:p>
      <w:r>
        <w:t>3. Enter execution delay (typically 3-6 minutes)</w:t>
      </w:r>
    </w:p>
    <w:p>
      <w:r>
        <w:t>4. Review predicted CPA/TCPA for all acquired targets</w:t>
      </w:r>
    </w:p>
    <w:p>
      <w:r>
        <w:t>5. Confirm manoeuvre does not create new close-quarters situations</w:t>
      </w:r>
    </w:p>
    <w:p>
      <w:r>
        <w:t>6. Execute or cancel</w:t>
      </w:r>
    </w:p>
    <w:p>
      <w:pPr>
        <w:pStyle w:val="Heading3"/>
      </w:pPr>
      <w:r>
        <w:t>Restricted Visibility (COLREGS Rule 19)</w:t>
      </w:r>
    </w:p>
    <w:p>
      <w:pPr>
        <w:pStyle w:val="ListBullet"/>
        <w:spacing w:after="40"/>
      </w:pPr>
      <w:r>
        <w:t>Proceed at safe speed</w:t>
      </w:r>
    </w:p>
    <w:p>
      <w:pPr>
        <w:pStyle w:val="ListBullet"/>
        <w:spacing w:after="40"/>
      </w:pPr>
      <w:r>
        <w:t>Have engines ready for immediate manoeuvre</w:t>
      </w:r>
    </w:p>
    <w:p>
      <w:pPr>
        <w:pStyle w:val="ListBullet"/>
        <w:spacing w:after="40"/>
      </w:pPr>
      <w:r>
        <w:t>Take early and substantial avoiding action</w:t>
      </w:r>
    </w:p>
    <w:p>
      <w:pPr>
        <w:pStyle w:val="ListBullet"/>
        <w:spacing w:after="40"/>
      </w:pPr>
      <w:r>
        <w:t>Avoid altering course to port for vessels forward of the beam</w:t>
      </w:r>
    </w:p>
    <w:p>
      <w:pPr>
        <w:pStyle w:val="Heading3"/>
      </w:pPr>
      <w:r>
        <w:t>Scenarios in Simulator</w:t>
      </w:r>
    </w:p>
    <w:p>
      <w:r>
        <w:t>| Scenario | Key Learning Points |</w:t>
      </w:r>
    </w:p>
    <w:p>
      <w:r>
        <w:t>|----------|---------------------|</w:t>
      </w:r>
    </w:p>
    <w:p>
      <w:r>
        <w:t>| Close-Quarters Situation | CPA &lt; 0.3nm assessment, early action, Rule 19 |</w:t>
      </w:r>
    </w:p>
    <w:p>
      <w:r>
        <w:t>| Target Acquisition &amp; Tracking | Manual/auto acquisition, ARPA vector display |</w:t>
      </w:r>
    </w:p>
    <w:p>
      <w:r>
        <w:t>| Clutter Reduction | STC/FTC/gain adjustment to reveal targets |</w:t>
      </w:r>
    </w:p>
    <w:p>
      <w:r>
        <w:t>| Restricted Visibility | Fog horn, Rule 19 compliance |</w:t>
      </w:r>
    </w:p>
    <w:p>
      <w:pPr>
        <w:pStyle w:val="Heading3"/>
      </w:pPr>
      <w:r>
        <w:t>References</w:t>
      </w:r>
    </w:p>
    <w:p>
      <w:pPr>
        <w:pStyle w:val="ListBullet"/>
        <w:spacing w:after="40"/>
      </w:pPr>
      <w:r>
        <w:t>IMO MSC.192(79): Performance Standards for Radar Equipment</w:t>
      </w:r>
    </w:p>
    <w:p>
      <w:pPr>
        <w:pStyle w:val="ListBullet"/>
        <w:spacing w:after="40"/>
      </w:pPr>
      <w:r>
        <w:t>IEC 62388: Maritime navigation and radiocommunication equipment – shipborne radar</w:t>
      </w:r>
    </w:p>
    <w:p>
      <w:pPr>
        <w:pStyle w:val="ListBullet"/>
        <w:spacing w:after="40"/>
      </w:pPr>
      <w:r>
        <w:t>COLREGS 1972 (as amended)</w:t>
      </w:r>
    </w:p>
    <w:p>
      <w:pPr>
        <w:pStyle w:val="ListBullet"/>
        <w:spacing w:after="40"/>
      </w:pPr>
      <w:r>
        <w:t>NP 100: The Mariner's Handbook (UKHO)</w:t>
      </w:r>
    </w:p>
    <w:p>
      <w:pPr>
        <w:pStyle w:val="Heading1"/>
      </w:pPr>
      <w:r>
        <w:t>8. Trainee Assessment Checklist</w:t>
      </w:r>
    </w:p>
    <w:p>
      <w:r>
        <w:t>The instructor should verify the trainee can:</w:t>
      </w:r>
    </w:p>
    <w:p>
      <w:pPr>
        <w:pStyle w:val="ListBullet"/>
      </w:pPr>
      <w:r>
        <w:t>Identify all panels and their functions.</w:t>
      </w:r>
    </w:p>
    <w:p>
      <w:pPr>
        <w:pStyle w:val="ListBullet"/>
      </w:pPr>
      <w:r>
        <w:t>Read and interpret gauge values and colour codes.</w:t>
      </w:r>
    </w:p>
    <w:p>
      <w:pPr>
        <w:pStyle w:val="ListBullet"/>
      </w:pPr>
      <w:r>
        <w:t>Operate valve controls correctly.</w:t>
      </w:r>
    </w:p>
    <w:p>
      <w:pPr>
        <w:pStyle w:val="ListBullet"/>
      </w:pPr>
      <w:r>
        <w:t>Acknowledge and respond to alarms within appropriate time.</w:t>
      </w:r>
    </w:p>
    <w:p>
      <w:pPr>
        <w:pStyle w:val="ListBullet"/>
      </w:pPr>
      <w:r>
        <w:t>Execute the Emergency Shutdown procedure.</w:t>
      </w:r>
    </w:p>
    <w:p>
      <w:pPr>
        <w:pStyle w:val="ListBullet"/>
      </w:pPr>
      <w:r>
        <w:t>Complete at least two training scenarios with all checklist items done.</w:t>
      </w:r>
    </w:p>
    <w:p>
      <w:pPr>
        <w:pStyle w:val="ListBullet"/>
      </w:pPr>
      <w:r>
        <w:t>Explain the regulatory basis for the system (where applicable).</w:t>
      </w:r>
    </w:p>
    <w:tbl>
      <w:tblPr>
        <w:tblStyle w:val="LightGrid-Accent1"/>
        <w:tblW w:type="auto" w:w="0"/>
        <w:tblLook w:firstColumn="1" w:firstRow="1" w:lastColumn="0" w:lastRow="0" w:noHBand="0" w:noVBand="1" w:val="04A0"/>
      </w:tblPr>
      <w:tblGrid>
        <w:gridCol w:w="2880"/>
        <w:gridCol w:w="2880"/>
        <w:gridCol w:w="2880"/>
      </w:tblGrid>
      <w:tr>
        <w:tc>
          <w:tcPr>
            <w:tcW w:type="dxa" w:w="2880"/>
          </w:tcPr>
          <w:p>
            <w:r>
              <w:rPr>
                <w:b/>
              </w:rPr>
              <w:t>Assessment Item</w:t>
            </w:r>
          </w:p>
        </w:tc>
        <w:tc>
          <w:tcPr>
            <w:tcW w:type="dxa" w:w="2880"/>
          </w:tcPr>
          <w:p>
            <w:r>
              <w:rPr>
                <w:b/>
              </w:rPr>
              <w:t>Result (Pass/Fail)</w:t>
            </w:r>
          </w:p>
        </w:tc>
        <w:tc>
          <w:tcPr>
            <w:tcW w:type="dxa" w:w="2880"/>
          </w:tcPr>
          <w:p>
            <w:r>
              <w:rPr>
                <w:b/>
              </w:rPr>
              <w:t>Remarks</w:t>
            </w:r>
          </w:p>
        </w:tc>
      </w:tr>
      <w:tr>
        <w:tc>
          <w:tcPr>
            <w:tcW w:type="dxa" w:w="2880"/>
          </w:tcPr>
          <w:p>
            <w:r>
              <w:t>Scenario Completion</w:t>
            </w:r>
          </w:p>
        </w:tc>
        <w:tc>
          <w:tcPr>
            <w:tcW w:type="dxa" w:w="2880"/>
          </w:tcPr>
          <w:p/>
        </w:tc>
        <w:tc>
          <w:tcPr>
            <w:tcW w:type="dxa" w:w="2880"/>
          </w:tcPr>
          <w:p/>
        </w:tc>
      </w:tr>
      <w:tr>
        <w:tc>
          <w:tcPr>
            <w:tcW w:type="dxa" w:w="2880"/>
          </w:tcPr>
          <w:p>
            <w:r>
              <w:t>Alarm Response</w:t>
            </w:r>
          </w:p>
        </w:tc>
        <w:tc>
          <w:tcPr>
            <w:tcW w:type="dxa" w:w="2880"/>
          </w:tcPr>
          <w:p/>
        </w:tc>
        <w:tc>
          <w:tcPr>
            <w:tcW w:type="dxa" w:w="2880"/>
          </w:tcPr>
          <w:p/>
        </w:tc>
      </w:tr>
      <w:tr>
        <w:tc>
          <w:tcPr>
            <w:tcW w:type="dxa" w:w="2880"/>
          </w:tcPr>
          <w:p>
            <w:r>
              <w:t>Emergency Procedure</w:t>
            </w:r>
          </w:p>
        </w:tc>
        <w:tc>
          <w:tcPr>
            <w:tcW w:type="dxa" w:w="2880"/>
          </w:tcPr>
          <w:p/>
        </w:tc>
        <w:tc>
          <w:tcPr>
            <w:tcW w:type="dxa" w:w="2880"/>
          </w:tcPr>
          <w:p/>
        </w:tc>
      </w:tr>
    </w:tbl>
    <w:p/>
    <w:p>
      <w:pPr>
        <w:jc w:val="center"/>
      </w:pPr>
      <w:r>
        <w:rPr>
          <w:color w:val="969696"/>
          <w:sz w:val="16"/>
        </w:rPr>
        <w:t>Generated by BlueSim Training Guide System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80"/>
    </w:pPr>
    <w:rPr>
      <w:rFonts w:ascii="Calibri" w:hAnsi="Calibri"/>
      <w:sz w:val="1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