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p>
      <w:pPr>
        <w:jc w:val="center"/>
      </w:pPr>
      <w:r>
        <w:rPr>
          <w:b/>
          <w:color w:val="00788C"/>
          <w:sz w:val="28"/>
        </w:rPr>
        <w:t>BlueSim Training Guide</w:t>
      </w:r>
    </w:p>
    <w:p>
      <w:pPr>
        <w:jc w:val="center"/>
      </w:pPr>
      <w:r>
        <w:rPr>
          <w:b/>
          <w:sz w:val="48"/>
        </w:rPr>
        <w:t>Sewage Treatment Plant Simulator</w:t>
      </w:r>
    </w:p>
    <w:p>
      <w:pPr>
        <w:jc w:val="center"/>
      </w:pPr>
      <w:r>
        <w:rPr>
          <w:color w:val="646464"/>
          <w:sz w:val="24"/>
        </w:rPr>
        <w:t>Engine Room Equipment</w:t>
      </w:r>
    </w:p>
    <w:p>
      <w:pPr>
        <w:jc w:val="center"/>
      </w:pPr>
      <w:r>
        <w:rPr>
          <w:color w:val="505050"/>
          <w:sz w:val="20"/>
        </w:rPr>
        <w:t>Biological sewage treatment plant operation and discharge management per MARPOL Annex IV, MEPC.159(55) and MEPC.227(64).</w:t>
      </w:r>
    </w:p>
    <w:p>
      <w:r>
        <w:br w:type="page"/>
      </w:r>
    </w:p>
    <w:p>
      <w:pPr>
        <w:pStyle w:val="Heading1"/>
      </w:pPr>
      <w:r>
        <w:t>1. Display Requirements</w:t>
      </w:r>
    </w:p>
    <w:tbl>
      <w:tblPr>
        <w:tblStyle w:val="LightGrid-Accent1"/>
        <w:tblW w:type="auto" w:w="0"/>
        <w:jc w:val="lef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Optimal Resolution</w:t>
            </w:r>
          </w:p>
        </w:tc>
        <w:tc>
          <w:tcPr>
            <w:tcW w:type="dxa" w:w="4320"/>
          </w:tcPr>
          <w:p>
            <w:r>
              <w:t>1920 x 1080 (Full HD)</w:t>
            </w:r>
          </w:p>
        </w:tc>
      </w:tr>
      <w:tr>
        <w:tc>
          <w:tcPr>
            <w:tcW w:type="dxa" w:w="4320"/>
          </w:tcPr>
          <w:p>
            <w:r>
              <w:t>Minimum Resolution</w:t>
            </w:r>
          </w:p>
        </w:tc>
        <w:tc>
          <w:tcPr>
            <w:tcW w:type="dxa" w:w="4320"/>
          </w:tcPr>
          <w:p>
            <w:r>
              <w:t>1366 x 768</w:t>
            </w:r>
          </w:p>
        </w:tc>
      </w:tr>
      <w:tr>
        <w:tc>
          <w:tcPr>
            <w:tcW w:type="dxa" w:w="4320"/>
          </w:tcPr>
          <w:p>
            <w:r>
              <w:t>Aspect Ratio</w:t>
            </w:r>
          </w:p>
        </w:tc>
        <w:tc>
          <w:tcPr>
            <w:tcW w:type="dxa" w:w="4320"/>
          </w:tcPr>
          <w:p>
            <w:r>
              <w:t>16:9 (recommended) or 16:10</w:t>
            </w:r>
          </w:p>
        </w:tc>
      </w:tr>
      <w:tr>
        <w:tc>
          <w:tcPr>
            <w:tcW w:type="dxa" w:w="4320"/>
          </w:tcPr>
          <w:p>
            <w:r>
              <w:t>Browser</w:t>
            </w:r>
          </w:p>
        </w:tc>
        <w:tc>
          <w:tcPr>
            <w:tcW w:type="dxa" w:w="4320"/>
          </w:tcPr>
          <w:p>
            <w:r>
              <w:t>Chrome 90+, Firefox 90+, Edge 90+ (fullscreen recommended)</w:t>
            </w:r>
          </w:p>
        </w:tc>
      </w:tr>
      <w:tr>
        <w:tc>
          <w:tcPr>
            <w:tcW w:type="dxa" w:w="4320"/>
          </w:tcPr>
          <w:p>
            <w:r>
              <w:t>Input</w:t>
            </w:r>
          </w:p>
        </w:tc>
        <w:tc>
          <w:tcPr>
            <w:tcW w:type="dxa" w:w="4320"/>
          </w:tcPr>
          <w:p>
            <w:r>
              <w:t>Mouse + keyboard (touchscreen not supported)</w:t>
            </w:r>
          </w:p>
        </w:tc>
      </w:tr>
    </w:tbl>
    <w:p/>
    <w:p>
      <w:r>
        <w:rPr>
          <w:b/>
        </w:rPr>
        <w:t xml:space="preserve">Note: </w:t>
      </w:r>
      <w:r>
        <w:t>The simulator is designed for desktop use. On screens below 980 x 600 px, a "Screen Too Small" notice will appear. For the best experience, press F11 for fullscreen mode after launching the simulator.</w:t>
      </w:r>
    </w:p>
    <w:p>
      <w:pPr>
        <w:pStyle w:val="Heading1"/>
      </w:pPr>
      <w:r>
        <w:t>2. Simulator Overview</w:t>
      </w:r>
    </w:p>
    <w:p>
      <w:r>
        <w:t>Biological sewage treatment plant operation and discharge management per MARPOL Annex IV, MEPC.159(55) and MEPC.227(64).</w:t>
      </w:r>
    </w:p>
    <w:p>
      <w:pPr>
        <w:pStyle w:val="Heading2"/>
      </w:pPr>
      <w:r>
        <w:t>Key Features</w:t>
      </w:r>
    </w:p>
    <w:p>
      <w:pPr>
        <w:pStyle w:val="ListBullet"/>
      </w:pPr>
      <w:r>
        <w:t>Three-stage biological STP: aeration, settling and chlorination with live parameter monitoring.</w:t>
      </w:r>
    </w:p>
    <w:p>
      <w:pPr>
        <w:pStyle w:val="ListBullet"/>
      </w:pPr>
      <w:r>
        <w:t>BOD, SS, residual chlorine, DO and pH gauges with MEPC.159(55) effluent quality limits.</w:t>
      </w:r>
    </w:p>
    <w:p>
      <w:pPr>
        <w:pStyle w:val="ListBullet"/>
      </w:pPr>
      <w:r>
        <w:t>4nm discharge restriction enforced — effluent overboard valve blocked within 4nm of land.</w:t>
      </w:r>
    </w:p>
    <w:p>
      <w:pPr>
        <w:pStyle w:val="ListBullet"/>
      </w:pPr>
      <w:r>
        <w:t>Blower fault scenario with sludge recirculation and DO recovery procedure.</w:t>
      </w:r>
    </w:p>
    <w:p>
      <w:pPr>
        <w:pStyle w:val="ListBullet"/>
      </w:pPr>
      <w:r>
        <w:t>Scenarios: Normal Treatment Cycle, Discharge Violation Alert, Blower Failure.</w:t>
      </w:r>
    </w:p>
    <w:p>
      <w:pPr>
        <w:pStyle w:val="Heading1"/>
      </w:pPr>
      <w:r>
        <w:t>3. Interface Layout</w:t>
      </w:r>
    </w:p>
    <w:p>
      <w:r>
        <w:t>The simulator uses a multi-panel layout with the following regions: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Panel</w:t>
            </w:r>
          </w:p>
        </w:tc>
        <w:tc>
          <w:tcPr>
            <w:tcW w:type="dxa" w:w="4320"/>
          </w:tcPr>
          <w:p>
            <w:r>
              <w:rPr>
                <w:b/>
              </w:rPr>
              <w:t>Purpose</w:t>
            </w:r>
          </w:p>
        </w:tc>
      </w:tr>
      <w:tr>
        <w:tc>
          <w:tcPr>
            <w:tcW w:type="dxa" w:w="4320"/>
          </w:tcPr>
          <w:p>
            <w:r>
              <w:t>EXIT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CONTROLS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P&amp;amp;ID SCHEMATIC — BIOLOGICAL STP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GAUGES &amp;amp; ALARMS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ACTIVE ALARMS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PIPELINE LINEUP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OPERATION LOG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EFFLUENT PARAMETERS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</w:tbl>
    <w:p/>
    <w:p>
      <w:r>
        <w:rPr>
          <w:b/>
        </w:rPr>
        <w:t xml:space="preserve">Header Bar: </w:t>
      </w:r>
      <w:r>
        <w:t>Shows simulator title, regulatory reference, live clock, fullscreen toggle, and exit button.</w:t>
      </w:r>
    </w:p>
    <w:p>
      <w:r>
        <w:rPr>
          <w:b/>
        </w:rPr>
        <w:t xml:space="preserve">Left Panel: </w:t>
      </w:r>
      <w:r>
        <w:t>System gauges, valve controls, and operational parameters.</w:t>
      </w:r>
    </w:p>
    <w:p>
      <w:r>
        <w:rPr>
          <w:b/>
        </w:rPr>
        <w:t xml:space="preserve">Center Panel: </w:t>
      </w:r>
      <w:r>
        <w:t>P&amp;ID schematic or main visual display (canvas/SVG).</w:t>
      </w:r>
    </w:p>
    <w:p>
      <w:r>
        <w:rPr>
          <w:b/>
        </w:rPr>
        <w:t xml:space="preserve">Right Panel: </w:t>
      </w:r>
      <w:r>
        <w:t>Alarm management, emergency controls, and scenario buttons.</w:t>
      </w:r>
    </w:p>
    <w:p>
      <w:r>
        <w:rPr>
          <w:b/>
        </w:rPr>
        <w:t xml:space="preserve">Bottom Panels: </w:t>
      </w:r>
      <w:r>
        <w:t>Trend charts, gas detection, scenario checklists, and supplementary data.</w:t>
      </w:r>
    </w:p>
    <w:p>
      <w:pPr>
        <w:pStyle w:val="Heading1"/>
      </w:pPr>
      <w:r>
        <w:t>4. System Components</w:t>
      </w:r>
    </w:p>
    <w:p>
      <w:pPr>
        <w:pStyle w:val="Heading2"/>
      </w:pPr>
      <w:r>
        <w:t>4.2 Valve Controls</w:t>
      </w:r>
    </w:p>
    <w:p>
      <w:r>
        <w:t>Click a valve button to toggle its state. Valve states are colour-coded:</w:t>
      </w:r>
    </w:p>
    <w:p>
      <w:r>
        <w:rPr>
          <w:b/>
        </w:rPr>
        <w:t xml:space="preserve">Green: </w:t>
      </w:r>
      <w:r>
        <w:t>OPEN</w:t>
      </w:r>
    </w:p>
    <w:p>
      <w:r>
        <w:rPr>
          <w:b/>
        </w:rPr>
        <w:t xml:space="preserve">Red: </w:t>
      </w:r>
      <w:r>
        <w:t>CLOSED</w:t>
      </w:r>
    </w:p>
    <w:p>
      <w:r>
        <w:rPr>
          <w:b/>
        </w:rPr>
        <w:t xml:space="preserve">Amber: </w:t>
      </w:r>
      <w:r>
        <w:t>TRANSITIONING</w:t>
      </w:r>
    </w:p>
    <w:p/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</w:tcPr>
          <w:p>
            <w:r>
              <w:rPr>
                <w:b/>
              </w:rPr>
              <w:t>Valve Name</w:t>
            </w:r>
          </w:p>
        </w:tc>
      </w:tr>
      <w:tr>
        <w:tc>
          <w:tcPr>
            <w:tcW w:type="dxa" w:w="8640"/>
          </w:tcPr>
          <w:p>
            <w:r>
              <w:t>SW INLET [C]</w:t>
            </w:r>
          </w:p>
        </w:tc>
      </w:tr>
      <w:tr>
        <w:tc>
          <w:tcPr>
            <w:tcW w:type="dxa" w:w="8640"/>
          </w:tcPr>
          <w:p>
            <w:r>
              <w:t>AER AIR [C]</w:t>
            </w:r>
          </w:p>
        </w:tc>
      </w:tr>
      <w:tr>
        <w:tc>
          <w:tcPr>
            <w:tcW w:type="dxa" w:w="8640"/>
          </w:tcPr>
          <w:p>
            <w:r>
              <w:t>EFFL OVBD [C]</w:t>
            </w:r>
          </w:p>
        </w:tc>
      </w:tr>
      <w:tr>
        <w:tc>
          <w:tcPr>
            <w:tcW w:type="dxa" w:w="8640"/>
          </w:tcPr>
          <w:p>
            <w:r>
              <w:t>SLUDGE RTN [C]</w:t>
            </w:r>
          </w:p>
        </w:tc>
      </w:tr>
      <w:tr>
        <w:tc>
          <w:tcPr>
            <w:tcW w:type="dxa" w:w="8640"/>
          </w:tcPr>
          <w:p>
            <w:r>
              <w:t>HOLD BYPASS [C]</w:t>
            </w:r>
          </w:p>
        </w:tc>
      </w:tr>
    </w:tbl>
    <w:p>
      <w:pPr>
        <w:pStyle w:val="Heading1"/>
      </w:pPr>
      <w:r>
        <w:t>5. Training Scenarios</w:t>
      </w:r>
    </w:p>
    <w:p>
      <w:r>
        <w:t>Scenario information will be displayed in the simulator modal on launch. Follow the on-screen checklist to complete each training objective.</w:t>
      </w:r>
    </w:p>
    <w:p>
      <w:pPr>
        <w:pStyle w:val="Heading1"/>
      </w:pPr>
      <w:r>
        <w:t>6. Emergency Procedures</w:t>
      </w:r>
    </w:p>
    <w:p>
      <w:r>
        <w:t>When an alarm condition occurs:</w:t>
      </w:r>
    </w:p>
    <w:p>
      <w:r>
        <w:rPr>
          <w:b/>
        </w:rPr>
        <w:t xml:space="preserve">1. </w:t>
      </w:r>
      <w:r>
        <w:t>Identify the alarm in the Alarm Management panel (right side).</w:t>
      </w:r>
    </w:p>
    <w:p>
      <w:r>
        <w:rPr>
          <w:b/>
        </w:rPr>
        <w:t xml:space="preserve">2. </w:t>
      </w:r>
      <w:r>
        <w:t>Acknowledge the alarm by clicking on it.</w:t>
      </w:r>
    </w:p>
    <w:p>
      <w:r>
        <w:rPr>
          <w:b/>
        </w:rPr>
        <w:t xml:space="preserve">3. </w:t>
      </w:r>
      <w:r>
        <w:t>Assess the severity: WARNING (amber) requires monitoring; ALARM (red) requires immediate action.</w:t>
      </w:r>
    </w:p>
    <w:p>
      <w:r>
        <w:rPr>
          <w:b/>
        </w:rPr>
        <w:t xml:space="preserve">4. </w:t>
      </w:r>
      <w:r>
        <w:t>If Emergency Shutdown (ESD) is required, press the ESD button.</w:t>
      </w:r>
    </w:p>
    <w:p>
      <w:r>
        <w:rPr>
          <w:b/>
        </w:rPr>
        <w:t xml:space="preserve">5. </w:t>
      </w:r>
      <w:r>
        <w:t>Follow the scenario checklist for step-by-step response.</w:t>
      </w:r>
    </w:p>
    <w:p>
      <w:r>
        <w:rPr>
          <w:b/>
        </w:rPr>
        <w:t xml:space="preserve">6. </w:t>
      </w:r>
      <w:r>
        <w:t>After resolving the condition, use the RESET button to restore normal operations.</w:t>
      </w:r>
    </w:p>
    <w:p>
      <w:pPr>
        <w:pStyle w:val="Heading1"/>
      </w:pPr>
      <w:r>
        <w:t>7. Reference Documentation</w:t>
      </w:r>
    </w:p>
    <w:p>
      <w:pPr>
        <w:pStyle w:val="Heading2"/>
      </w:pPr>
      <w:r>
        <w:t>reference</w:t>
      </w:r>
    </w:p>
    <w:p>
      <w:pPr>
        <w:pStyle w:val="Heading2"/>
      </w:pPr>
      <w:r>
        <w:t>Sewage Treatment Plant (STP) — Technical Reference</w:t>
      </w:r>
    </w:p>
    <w:p>
      <w:pPr>
        <w:pStyle w:val="Heading3"/>
      </w:pPr>
      <w:r>
        <w:t>Regulatory Framework</w:t>
      </w:r>
    </w:p>
    <w:p>
      <w:pPr>
        <w:pStyle w:val="Heading4"/>
      </w:pPr>
      <w:r>
        <w:t>MARPOL Annex IV — Prevention of Pollution by Sewage from Ships</w:t>
      </w:r>
    </w:p>
    <w:p>
      <w:pPr>
        <w:pStyle w:val="ListBullet"/>
        <w:spacing w:after="40"/>
      </w:pPr>
      <w:r>
        <w:t>**Regulation 11**: Prohibits discharge of sewage unless treated to approved standard.</w:t>
      </w:r>
    </w:p>
    <w:p>
      <w:pPr>
        <w:pStyle w:val="ListBullet"/>
        <w:spacing w:after="40"/>
      </w:pPr>
      <w:r>
        <w:t>**Regulation 12**: Exceptions: vessel &gt;12nm from nearest land (comminuted/disinfected), or &gt;3nm (approved treatment system).</w:t>
      </w:r>
    </w:p>
    <w:p>
      <w:pPr>
        <w:pStyle w:val="ListBullet"/>
        <w:spacing w:after="40"/>
      </w:pPr>
      <w:r>
        <w:t>**Regulation 11.3**: Treated sewage effluent must meet standard: BOD ≤50 mg/l, SS ≤35 mg/l, residual chlorine 0.2–0.5 mg/l.</w:t>
      </w:r>
    </w:p>
    <w:p>
      <w:pPr>
        <w:pStyle w:val="Heading4"/>
      </w:pPr>
      <w:r>
        <w:t>IMO Resolution MEPC.159(55) — Standards for Performance of STP</w:t>
      </w:r>
    </w:p>
    <w:p>
      <w:pPr>
        <w:pStyle w:val="ListBullet"/>
        <w:spacing w:after="40"/>
      </w:pPr>
      <w:r>
        <w:t>Defines effluent quality standards for type-approved systems.</w:t>
      </w:r>
    </w:p>
    <w:p>
      <w:pPr>
        <w:pStyle w:val="ListBullet"/>
        <w:spacing w:after="40"/>
      </w:pPr>
      <w:r>
        <w:t>BOD₅ ≤25 mg/l (enhanced standard), SS ≤35 mg/l, residual chlorine 0.2–0.5 mg/l.</w:t>
      </w:r>
    </w:p>
    <w:p>
      <w:pPr>
        <w:pStyle w:val="ListBullet"/>
        <w:spacing w:after="40"/>
      </w:pPr>
      <w:r>
        <w:t>Fecal coliforms ≤100 per 100 ml (treated effluent).</w:t>
      </w:r>
    </w:p>
    <w:p>
      <w:pPr>
        <w:pStyle w:val="Heading4"/>
      </w:pPr>
      <w:r>
        <w:t>IMO MEPC.227(64) — 2012 Guidelines</w:t>
      </w:r>
    </w:p>
    <w:p>
      <w:pPr>
        <w:pStyle w:val="ListBullet"/>
        <w:spacing w:after="40"/>
      </w:pPr>
      <w:r>
        <w:t>Updated standards for sewage treatment plant type approval.</w:t>
      </w:r>
    </w:p>
    <w:p>
      <w:pPr>
        <w:pStyle w:val="ListBullet"/>
        <w:spacing w:after="40"/>
      </w:pPr>
      <w:r>
        <w:t>Enhanced nutrient reduction requirements for sensitive sea areas.</w:t>
      </w:r>
    </w:p>
    <w:p>
      <w:pPr>
        <w:pStyle w:val="ListBullet"/>
        <w:spacing w:after="40"/>
      </w:pPr>
      <w:r>
        <w:t>Equipment must have valid IOPP Certificate and STP Type Approval Certificate.</w:t>
      </w:r>
    </w:p>
    <w:p>
      <w:r>
        <w:t>---</w:t>
      </w:r>
    </w:p>
    <w:p>
      <w:pPr>
        <w:pStyle w:val="Heading3"/>
      </w:pPr>
      <w:r>
        <w:t>Equipment: Hamworthy / Wärtsilä Biological STP</w:t>
      </w:r>
    </w:p>
    <w:p>
      <w:pPr>
        <w:pStyle w:val="Heading4"/>
      </w:pPr>
      <w:r>
        <w:t>Process Overview</w:t>
      </w:r>
    </w:p>
    <w:p>
      <w:r>
        <w:t>Three-stage biological treatment:</w:t>
      </w:r>
    </w:p>
    <w:p>
      <w:r>
        <w:t>1. Aeration Tank — Aerobic biological degradation by activated sludge</w:t>
      </w:r>
    </w:p>
    <w:p>
      <w:r>
        <w:t>2. Settling Tank — Gravity separation of sludge from treated effluent</w:t>
      </w:r>
    </w:p>
    <w:p>
      <w:r>
        <w:t>3. Chlorination Chamber — Disinfection before overboard discharge</w:t>
      </w:r>
    </w:p>
    <w:p>
      <w:pPr>
        <w:pStyle w:val="Heading4"/>
      </w:pPr>
      <w:r>
        <w:t>Aeration Tank</w:t>
      </w:r>
    </w:p>
    <w:p>
      <w:r>
        <w:t>| Parameter | Normal Range |</w:t>
      </w:r>
    </w:p>
    <w:p>
      <w:r>
        <w:t>|-----------|-------------|</w:t>
      </w:r>
    </w:p>
    <w:p>
      <w:r>
        <w:t>| Tank level | 60–80% |</w:t>
      </w:r>
    </w:p>
    <w:p>
      <w:r>
        <w:t>| Dissolved oxygen (DO) | 2.0–4.0 mg/l |</w:t>
      </w:r>
    </w:p>
    <w:p>
      <w:r>
        <w:t>| pH | 6.5–8.5 |</w:t>
      </w:r>
    </w:p>
    <w:p>
      <w:r>
        <w:t>| Temperature | 15–35°C |</w:t>
      </w:r>
    </w:p>
    <w:p>
      <w:r>
        <w:t>| Aeration blower pressure | 0.3–0.8 bar |</w:t>
      </w:r>
    </w:p>
    <w:p>
      <w:pPr>
        <w:pStyle w:val="Heading4"/>
      </w:pPr>
      <w:r>
        <w:t>Settling Tank</w:t>
      </w:r>
    </w:p>
    <w:p>
      <w:r>
        <w:t>| Parameter | Value |</w:t>
      </w:r>
    </w:p>
    <w:p>
      <w:r>
        <w:t>|-----------|-------|</w:t>
      </w:r>
    </w:p>
    <w:p>
      <w:r>
        <w:t>| Hydraulic retention time | 2–4 hours |</w:t>
      </w:r>
    </w:p>
    <w:p>
      <w:r>
        <w:t>| Sludge settling rate | &gt;0.5 m/h |</w:t>
      </w:r>
    </w:p>
    <w:p>
      <w:r>
        <w:t>| Surface loading rate | &lt;1.5 m³/m²·h |</w:t>
      </w:r>
    </w:p>
    <w:p>
      <w:r>
        <w:t>| Sludge blanket level | &lt;60% tank depth |</w:t>
      </w:r>
    </w:p>
    <w:p>
      <w:pPr>
        <w:pStyle w:val="Heading4"/>
      </w:pPr>
      <w:r>
        <w:t>Chlorination Chamber</w:t>
      </w:r>
    </w:p>
    <w:p>
      <w:r>
        <w:t>| Parameter | Value |</w:t>
      </w:r>
    </w:p>
    <w:p>
      <w:r>
        <w:t>|-----------|-------|</w:t>
      </w:r>
    </w:p>
    <w:p>
      <w:r>
        <w:t>| Chlorine contact time | ≥15 minutes |</w:t>
      </w:r>
    </w:p>
    <w:p>
      <w:r>
        <w:t>| Residual chlorine | 0.2–0.5 mg/l |</w:t>
      </w:r>
    </w:p>
    <w:p>
      <w:r>
        <w:t>| Chlorine source | Sodium hypochlorite solution |</w:t>
      </w:r>
    </w:p>
    <w:p>
      <w:r>
        <w:t>| Dosing rate | Proportional to flow rate |</w:t>
      </w:r>
    </w:p>
    <w:p>
      <w:r>
        <w:t>---</w:t>
      </w:r>
    </w:p>
    <w:p>
      <w:pPr>
        <w:pStyle w:val="Heading3"/>
      </w:pPr>
      <w:r>
        <w:t>Effluent Quality Standards</w:t>
      </w:r>
    </w:p>
    <w:p>
      <w:r>
        <w:t>| Parameter | MEPC.159(55) | MEPC.227(64) Enhanced |</w:t>
      </w:r>
    </w:p>
    <w:p>
      <w:r>
        <w:t>|-----------|-------------|----------------------|</w:t>
      </w:r>
    </w:p>
    <w:p>
      <w:r>
        <w:t>| BOD₅ | ≤50 mg/l | ≤25 mg/l |</w:t>
      </w:r>
    </w:p>
    <w:p>
      <w:r>
        <w:t>| Suspended Solids (SS) | ≤35 mg/l | ≤35 mg/l |</w:t>
      </w:r>
    </w:p>
    <w:p>
      <w:r>
        <w:t>| Residual Chlorine | 0.2–0.5 mg/l | 0.2–0.5 mg/l |</w:t>
      </w:r>
    </w:p>
    <w:p>
      <w:r>
        <w:t>| Fecal Coliforms | ≤250/100ml | ≤100/100ml |</w:t>
      </w:r>
    </w:p>
    <w:p>
      <w:r>
        <w:t>| pH | 6–9 | 6–9 |</w:t>
      </w:r>
    </w:p>
    <w:p>
      <w:r>
        <w:t>---</w:t>
      </w:r>
    </w:p>
    <w:p>
      <w:pPr>
        <w:pStyle w:val="Heading3"/>
      </w:pPr>
      <w:r>
        <w:t>Discharge Restrictions</w:t>
      </w:r>
    </w:p>
    <w:p>
      <w:pPr>
        <w:pStyle w:val="Heading4"/>
      </w:pPr>
      <w:r>
        <w:t>Geographic Limits</w:t>
      </w:r>
    </w:p>
    <w:p>
      <w:pPr>
        <w:pStyle w:val="ListBullet"/>
        <w:spacing w:after="40"/>
      </w:pPr>
      <w:r>
        <w:t>**4nm rule**: Must not discharge within 4nm of nearest land unless STP is running and effluent meets standards.</w:t>
      </w:r>
    </w:p>
    <w:p>
      <w:pPr>
        <w:pStyle w:val="ListBullet"/>
        <w:spacing w:after="40"/>
      </w:pPr>
      <w:r>
        <w:t>**Special Areas**: Baltic Sea, Black Sea, Antarctic — NO discharge permitted regardless of treatment.</w:t>
      </w:r>
    </w:p>
    <w:p>
      <w:pPr>
        <w:pStyle w:val="ListBullet"/>
        <w:spacing w:after="40"/>
      </w:pPr>
      <w:r>
        <w:t>Port Reception Facility (PRF) must be used when in port.</w:t>
      </w:r>
    </w:p>
    <w:p>
      <w:pPr>
        <w:pStyle w:val="Heading4"/>
      </w:pPr>
      <w:r>
        <w:t>Vessel Movement</w:t>
      </w:r>
    </w:p>
    <w:p>
      <w:pPr>
        <w:pStyle w:val="ListBullet"/>
        <w:spacing w:after="40"/>
      </w:pPr>
      <w:r>
        <w:t>Discharge of raw sewage is only permitted when vessel is underway at speed ≥4 knots and &gt;12nm from nearest land.</w:t>
      </w:r>
    </w:p>
    <w:p>
      <w:pPr>
        <w:pStyle w:val="ListBullet"/>
        <w:spacing w:after="40"/>
      </w:pPr>
      <w:r>
        <w:t>Treated effluent (from approved STP) may be discharged when &gt;3nm from land, vessel underway.</w:t>
      </w:r>
    </w:p>
    <w:p>
      <w:r>
        <w:t>---</w:t>
      </w:r>
    </w:p>
    <w:p>
      <w:pPr>
        <w:pStyle w:val="Heading3"/>
      </w:pPr>
      <w:r>
        <w:t>Equipment Alarm Setpoints</w:t>
      </w:r>
    </w:p>
    <w:p>
      <w:r>
        <w:t>| Alarm ID | Description | Setpoint | Type |</w:t>
      </w:r>
    </w:p>
    <w:p>
      <w:r>
        <w:t>|----------|-------------|----------|------|</w:t>
      </w:r>
    </w:p>
    <w:p>
      <w:r>
        <w:t>| STP-001 | High BOD | &gt;50 mg/l | Alarm |</w:t>
      </w:r>
    </w:p>
    <w:p>
      <w:r>
        <w:t>| STP-002 | Low residual chlorine | &lt;0.2 mg/l | Alarm |</w:t>
      </w:r>
    </w:p>
    <w:p>
      <w:r>
        <w:t>| STP-003 | High residual chlorine | &gt;0.5 mg/l | Warning |</w:t>
      </w:r>
    </w:p>
    <w:p>
      <w:r>
        <w:t>| STP-004 | Aeration tank high level | &gt;85% | Alarm |</w:t>
      </w:r>
    </w:p>
    <w:p>
      <w:r>
        <w:t>| STP-005 | Aeration blower fault | Stopped unintended | Alarm |</w:t>
      </w:r>
    </w:p>
    <w:p>
      <w:r>
        <w:t>| STP-006 | Low DO in aeration tank | &lt;1.5 mg/l | Warning |</w:t>
      </w:r>
    </w:p>
    <w:p>
      <w:r>
        <w:t>| STP-007 | High SS in effluent | &gt;35 mg/l | Alarm |</w:t>
      </w:r>
    </w:p>
    <w:p>
      <w:r>
        <w:t>| STP-008 | Discharge within 4nm | ECA position | Warning |</w:t>
      </w:r>
    </w:p>
    <w:p>
      <w:r>
        <w:t>| STP-009 | pH out of range | &lt;6.0 or &gt;9.0 | Warning |</w:t>
      </w:r>
    </w:p>
    <w:p>
      <w:r>
        <w:t>---</w:t>
      </w:r>
    </w:p>
    <w:p>
      <w:pPr>
        <w:pStyle w:val="Heading3"/>
      </w:pPr>
      <w:r>
        <w:t>Component Descriptions</w:t>
      </w:r>
    </w:p>
    <w:p>
      <w:pPr>
        <w:pStyle w:val="Heading4"/>
      </w:pPr>
      <w:r>
        <w:t>Aeration Blower</w:t>
      </w:r>
    </w:p>
    <w:p>
      <w:pPr>
        <w:pStyle w:val="ListBullet"/>
        <w:spacing w:after="40"/>
      </w:pPr>
      <w:r>
        <w:t>Type: Rotary lobe / centrifugal</w:t>
      </w:r>
    </w:p>
    <w:p>
      <w:pPr>
        <w:pStyle w:val="ListBullet"/>
        <w:spacing w:after="40"/>
      </w:pPr>
      <w:r>
        <w:t>Duty: Provides oxygen for biological treatment</w:t>
      </w:r>
    </w:p>
    <w:p>
      <w:pPr>
        <w:pStyle w:val="ListBullet"/>
        <w:spacing w:after="40"/>
      </w:pPr>
      <w:r>
        <w:t>Standby: Auto-changeover if duty blower fails</w:t>
      </w:r>
    </w:p>
    <w:p>
      <w:pPr>
        <w:pStyle w:val="Heading4"/>
      </w:pPr>
      <w:r>
        <w:t>Sludge Recirculation Pump</w:t>
      </w:r>
    </w:p>
    <w:p>
      <w:pPr>
        <w:pStyle w:val="ListBullet"/>
        <w:spacing w:after="40"/>
      </w:pPr>
      <w:r>
        <w:t>Returns settled sludge from settling tank back to aeration tank</w:t>
      </w:r>
    </w:p>
    <w:p>
      <w:pPr>
        <w:pStyle w:val="ListBullet"/>
        <w:spacing w:after="40"/>
      </w:pPr>
      <w:r>
        <w:t>Maintains active sludge concentration (MLSS: 2000–4000 mg/l)</w:t>
      </w:r>
    </w:p>
    <w:p>
      <w:pPr>
        <w:pStyle w:val="ListBullet"/>
        <w:spacing w:after="40"/>
      </w:pPr>
      <w:r>
        <w:t>Recirculation rate: 50–100% of influent flow</w:t>
      </w:r>
    </w:p>
    <w:p>
      <w:pPr>
        <w:pStyle w:val="Heading4"/>
      </w:pPr>
      <w:r>
        <w:t>Chlorinator / Dosing Pump</w:t>
      </w:r>
    </w:p>
    <w:p>
      <w:pPr>
        <w:pStyle w:val="ListBullet"/>
        <w:spacing w:after="40"/>
      </w:pPr>
      <w:r>
        <w:t>Peristaltic or diaphragm dosing pump</w:t>
      </w:r>
    </w:p>
    <w:p>
      <w:pPr>
        <w:pStyle w:val="ListBullet"/>
        <w:spacing w:after="40"/>
      </w:pPr>
      <w:r>
        <w:t>Dosing rate controlled by effluent flow signal</w:t>
      </w:r>
    </w:p>
    <w:p>
      <w:pPr>
        <w:pStyle w:val="ListBullet"/>
        <w:spacing w:after="40"/>
      </w:pPr>
      <w:r>
        <w:t>Sodium hypochlorite: 12–15% active chlorine</w:t>
      </w:r>
    </w:p>
    <w:p>
      <w:pPr>
        <w:pStyle w:val="Heading4"/>
      </w:pPr>
      <w:r>
        <w:t>Effluent Discharge Pump</w:t>
      </w:r>
    </w:p>
    <w:p>
      <w:pPr>
        <w:pStyle w:val="ListBullet"/>
        <w:spacing w:after="40"/>
      </w:pPr>
      <w:r>
        <w:t>Transfers treated effluent overboard</w:t>
      </w:r>
    </w:p>
    <w:p>
      <w:pPr>
        <w:pStyle w:val="ListBullet"/>
        <w:spacing w:after="40"/>
      </w:pPr>
      <w:r>
        <w:t>Interlocked with position monitoring (4nm limit)</w:t>
      </w:r>
    </w:p>
    <w:p>
      <w:pPr>
        <w:pStyle w:val="ListBullet"/>
        <w:spacing w:after="40"/>
      </w:pPr>
      <w:r>
        <w:t>Flow meter records discharge volume</w:t>
      </w:r>
    </w:p>
    <w:p>
      <w:r>
        <w:t>---</w:t>
      </w:r>
    </w:p>
    <w:p>
      <w:pPr>
        <w:pStyle w:val="Heading3"/>
      </w:pPr>
      <w:r>
        <w:t>Start-Up Procedure (Normal)</w:t>
      </w:r>
    </w:p>
    <w:p>
      <w:r>
        <w:t>1. Open sewage inlet valve; check aeration tank level.</w:t>
      </w:r>
    </w:p>
    <w:p>
      <w:r>
        <w:t>2. Start aeration blower; confirm air flow to diffusers.</w:t>
      </w:r>
    </w:p>
    <w:p>
      <w:r>
        <w:t>3. Start sludge recirculation pump.</w:t>
      </w:r>
    </w:p>
    <w:p>
      <w:r>
        <w:t>4. Start chlorinator dosing pump.</w:t>
      </w:r>
    </w:p>
    <w:p>
      <w:r>
        <w:t>5. Monitor DO rise to 2.0 mg/l (may take 30–60 min for biological activity).</w:t>
      </w:r>
    </w:p>
    <w:p>
      <w:r>
        <w:t>6. Check BOD and SS readings (allow stabilisation time — 2–4 hours).</w:t>
      </w:r>
    </w:p>
    <w:p>
      <w:r>
        <w:t>7. When effluent meets standards and vessel &gt;4nm from land, enable discharge pump.</w:t>
      </w:r>
    </w:p>
    <w:p>
      <w:r>
        <w:t>8. Log effluent discharge in Ship's Log and ORB.</w:t>
      </w:r>
    </w:p>
    <w:p>
      <w:r>
        <w:t>---</w:t>
      </w:r>
    </w:p>
    <w:p>
      <w:pPr>
        <w:pStyle w:val="Heading3"/>
      </w:pPr>
      <w:r>
        <w:t>References</w:t>
      </w:r>
    </w:p>
    <w:p>
      <w:pPr>
        <w:pStyle w:val="ListBullet"/>
        <w:spacing w:after="40"/>
      </w:pPr>
      <w:r>
        <w:t>MARPOL 73/78 Annex IV — Prevention of Pollution by Sewage</w:t>
      </w:r>
    </w:p>
    <w:p>
      <w:pPr>
        <w:pStyle w:val="ListBullet"/>
        <w:spacing w:after="40"/>
      </w:pPr>
      <w:r>
        <w:t>IMO Resolution MEPC.159(55) — Revised Guidelines on Standards for STP</w:t>
      </w:r>
    </w:p>
    <w:p>
      <w:pPr>
        <w:pStyle w:val="ListBullet"/>
        <w:spacing w:after="40"/>
      </w:pPr>
      <w:r>
        <w:t>IMO Resolution MEPC.227(64) — 2012 Guidelines on Implementation of Effluent Standards</w:t>
      </w:r>
    </w:p>
    <w:p>
      <w:pPr>
        <w:pStyle w:val="ListBullet"/>
        <w:spacing w:after="40"/>
      </w:pPr>
      <w:r>
        <w:t>SOLAS II-1 — Construction requirements</w:t>
      </w:r>
    </w:p>
    <w:p>
      <w:pPr>
        <w:pStyle w:val="ListBullet"/>
        <w:spacing w:after="40"/>
      </w:pPr>
      <w:r>
        <w:t>ISM Code — Operational procedures</w:t>
      </w:r>
    </w:p>
    <w:p>
      <w:pPr>
        <w:pStyle w:val="Heading1"/>
      </w:pPr>
      <w:r>
        <w:t>8. Trainee Assessment Checklist</w:t>
      </w:r>
    </w:p>
    <w:p>
      <w:r>
        <w:t>The instructor should verify the trainee can:</w:t>
      </w:r>
    </w:p>
    <w:p>
      <w:pPr>
        <w:pStyle w:val="ListBullet"/>
      </w:pPr>
      <w:r>
        <w:t>Identify all panels and their functions.</w:t>
      </w:r>
    </w:p>
    <w:p>
      <w:pPr>
        <w:pStyle w:val="ListBullet"/>
      </w:pPr>
      <w:r>
        <w:t>Read and interpret gauge values and colour codes.</w:t>
      </w:r>
    </w:p>
    <w:p>
      <w:pPr>
        <w:pStyle w:val="ListBullet"/>
      </w:pPr>
      <w:r>
        <w:t>Operate valve controls correctly.</w:t>
      </w:r>
    </w:p>
    <w:p>
      <w:pPr>
        <w:pStyle w:val="ListBullet"/>
      </w:pPr>
      <w:r>
        <w:t>Acknowledge and respond to alarms within appropriate time.</w:t>
      </w:r>
    </w:p>
    <w:p>
      <w:pPr>
        <w:pStyle w:val="ListBullet"/>
      </w:pPr>
      <w:r>
        <w:t>Execute the Emergency Shutdown procedure.</w:t>
      </w:r>
    </w:p>
    <w:p>
      <w:pPr>
        <w:pStyle w:val="ListBullet"/>
      </w:pPr>
      <w:r>
        <w:t>Complete at least two training scenarios with all checklist items done.</w:t>
      </w:r>
    </w:p>
    <w:p>
      <w:pPr>
        <w:pStyle w:val="ListBullet"/>
      </w:pPr>
      <w:r>
        <w:t>Explain the regulatory basis for the system (where applicable).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Assessment Item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Result (Pass/Fail)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Remarks</w:t>
            </w:r>
          </w:p>
        </w:tc>
      </w:tr>
      <w:tr>
        <w:tc>
          <w:tcPr>
            <w:tcW w:type="dxa" w:w="2880"/>
          </w:tcPr>
          <w:p>
            <w:r>
              <w:t>Scenario Completion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Alarm Response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Emergency Procedure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p/>
    <w:p>
      <w:pPr>
        <w:jc w:val="center"/>
      </w:pPr>
      <w:r>
        <w:rPr>
          <w:color w:val="969696"/>
          <w:sz w:val="16"/>
        </w:rPr>
        <w:t>Generated by BlueSim Training Guide System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80"/>
    </w:pPr>
    <w:rPr>
      <w:rFonts w:ascii="Calibri" w:hAnsi="Calibri"/>
      <w:sz w:val="1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